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90" w:rsidRDefault="00CE1990" w:rsidP="006354C2">
      <w:pPr>
        <w:pStyle w:val="NoSpacing"/>
        <w:jc w:val="center"/>
        <w:rPr>
          <w:rFonts w:ascii="Times New Roman" w:hAnsi="Times New Roman"/>
          <w:b/>
          <w:sz w:val="24"/>
          <w:szCs w:val="24"/>
        </w:rPr>
      </w:pPr>
    </w:p>
    <w:p w:rsidR="00EC6FDB" w:rsidRDefault="00FB1564" w:rsidP="006354C2">
      <w:pPr>
        <w:pStyle w:val="NoSpacing"/>
        <w:jc w:val="center"/>
        <w:rPr>
          <w:rFonts w:ascii="Times New Roman" w:hAnsi="Times New Roman"/>
          <w:b/>
          <w:sz w:val="24"/>
          <w:szCs w:val="24"/>
        </w:rPr>
      </w:pPr>
      <w:r w:rsidRPr="00FB1564">
        <w:rPr>
          <w:rFonts w:ascii="Times New Roman" w:hAnsi="Times New Roman"/>
          <w:b/>
          <w:sz w:val="24"/>
          <w:szCs w:val="24"/>
        </w:rPr>
        <w:t xml:space="preserve">Analysis Study Of The Effect In Selecting Combination Of </w:t>
      </w:r>
      <w:r>
        <w:rPr>
          <w:rFonts w:ascii="Times New Roman" w:hAnsi="Times New Roman"/>
          <w:b/>
          <w:sz w:val="24"/>
          <w:szCs w:val="24"/>
        </w:rPr>
        <w:t>Fracturing</w:t>
      </w:r>
      <w:r w:rsidRPr="00FB1564">
        <w:rPr>
          <w:rFonts w:ascii="Times New Roman" w:hAnsi="Times New Roman"/>
          <w:b/>
          <w:sz w:val="24"/>
          <w:szCs w:val="24"/>
        </w:rPr>
        <w:t xml:space="preserve"> Fluid Types And </w:t>
      </w:r>
      <w:proofErr w:type="spellStart"/>
      <w:r w:rsidRPr="00FB1564">
        <w:rPr>
          <w:rFonts w:ascii="Times New Roman" w:hAnsi="Times New Roman"/>
          <w:b/>
          <w:sz w:val="24"/>
          <w:szCs w:val="24"/>
        </w:rPr>
        <w:t>Proppant</w:t>
      </w:r>
      <w:proofErr w:type="spellEnd"/>
      <w:r w:rsidRPr="00FB1564">
        <w:rPr>
          <w:rFonts w:ascii="Times New Roman" w:hAnsi="Times New Roman"/>
          <w:b/>
          <w:sz w:val="24"/>
          <w:szCs w:val="24"/>
        </w:rPr>
        <w:t xml:space="preserve"> Size</w:t>
      </w:r>
      <w:r>
        <w:rPr>
          <w:rFonts w:ascii="Times New Roman" w:hAnsi="Times New Roman"/>
          <w:b/>
          <w:sz w:val="24"/>
          <w:szCs w:val="24"/>
        </w:rPr>
        <w:t>s</w:t>
      </w:r>
      <w:r w:rsidRPr="00FB1564">
        <w:rPr>
          <w:rFonts w:ascii="Times New Roman" w:hAnsi="Times New Roman"/>
          <w:b/>
          <w:sz w:val="24"/>
          <w:szCs w:val="24"/>
        </w:rPr>
        <w:t xml:space="preserve"> On Folds Of Increase (FOI) To Improve</w:t>
      </w:r>
      <w:r>
        <w:rPr>
          <w:rFonts w:ascii="Times New Roman" w:hAnsi="Times New Roman"/>
          <w:b/>
          <w:sz w:val="24"/>
          <w:szCs w:val="24"/>
        </w:rPr>
        <w:t xml:space="preserve"> Well</w:t>
      </w:r>
      <w:r w:rsidRPr="00FB1564">
        <w:rPr>
          <w:rFonts w:ascii="Times New Roman" w:hAnsi="Times New Roman"/>
          <w:b/>
          <w:sz w:val="24"/>
          <w:szCs w:val="24"/>
        </w:rPr>
        <w:t xml:space="preserve"> Productivity </w:t>
      </w:r>
    </w:p>
    <w:p w:rsidR="00FB1564" w:rsidRPr="00EE498D" w:rsidRDefault="00FB1564" w:rsidP="006354C2">
      <w:pPr>
        <w:pStyle w:val="NoSpacing"/>
        <w:jc w:val="center"/>
        <w:rPr>
          <w:rFonts w:ascii="Times New Roman" w:hAnsi="Times New Roman"/>
          <w:b/>
          <w:sz w:val="24"/>
          <w:szCs w:val="24"/>
          <w:lang w:val="id-ID"/>
        </w:rPr>
      </w:pPr>
    </w:p>
    <w:p w:rsidR="00EC6FDB" w:rsidRPr="00FB1564" w:rsidRDefault="00FB1564" w:rsidP="006354C2">
      <w:pPr>
        <w:pStyle w:val="NoSpacing"/>
        <w:jc w:val="center"/>
        <w:rPr>
          <w:rFonts w:ascii="Times New Roman" w:hAnsi="Times New Roman"/>
          <w:b/>
          <w:sz w:val="24"/>
          <w:szCs w:val="24"/>
        </w:rPr>
      </w:pPr>
      <w:r>
        <w:rPr>
          <w:rFonts w:ascii="Times New Roman" w:hAnsi="Times New Roman"/>
          <w:b/>
          <w:sz w:val="20"/>
          <w:szCs w:val="24"/>
        </w:rPr>
        <w:t xml:space="preserve">Dimas </w:t>
      </w:r>
      <w:proofErr w:type="spellStart"/>
      <w:r>
        <w:rPr>
          <w:rFonts w:ascii="Times New Roman" w:hAnsi="Times New Roman"/>
          <w:b/>
          <w:sz w:val="20"/>
          <w:szCs w:val="24"/>
        </w:rPr>
        <w:t>Ramadhan</w:t>
      </w:r>
      <w:proofErr w:type="spellEnd"/>
      <w:r w:rsidR="00EC6FDB" w:rsidRPr="00B202CC">
        <w:rPr>
          <w:rFonts w:ascii="Times New Roman" w:hAnsi="Times New Roman"/>
          <w:b/>
          <w:sz w:val="20"/>
          <w:szCs w:val="24"/>
        </w:rPr>
        <w:t xml:space="preserve"> </w:t>
      </w:r>
      <w:r w:rsidR="00EC6FDB" w:rsidRPr="00B202CC">
        <w:rPr>
          <w:rFonts w:ascii="Times New Roman" w:hAnsi="Times New Roman"/>
          <w:b/>
          <w:sz w:val="20"/>
          <w:szCs w:val="24"/>
          <w:vertAlign w:val="superscript"/>
        </w:rPr>
        <w:t>1</w:t>
      </w:r>
      <w:r w:rsidR="0071495C">
        <w:rPr>
          <w:rFonts w:ascii="Times New Roman" w:hAnsi="Times New Roman"/>
          <w:b/>
          <w:sz w:val="20"/>
          <w:szCs w:val="24"/>
          <w:vertAlign w:val="superscript"/>
        </w:rPr>
        <w:t>*</w:t>
      </w:r>
      <w:r w:rsidR="000A2B22" w:rsidRPr="00B202CC">
        <w:rPr>
          <w:rFonts w:ascii="Times New Roman" w:hAnsi="Times New Roman"/>
          <w:b/>
          <w:sz w:val="20"/>
          <w:szCs w:val="24"/>
          <w:vertAlign w:val="superscript"/>
        </w:rPr>
        <w:t>)</w:t>
      </w:r>
      <w:r w:rsidR="00EC6FDB" w:rsidRPr="00B202CC">
        <w:rPr>
          <w:rFonts w:ascii="Times New Roman" w:hAnsi="Times New Roman"/>
          <w:b/>
          <w:sz w:val="20"/>
          <w:szCs w:val="24"/>
        </w:rPr>
        <w:t xml:space="preserve">, </w:t>
      </w:r>
      <w:proofErr w:type="spellStart"/>
      <w:r w:rsidRPr="00FB1564">
        <w:rPr>
          <w:rFonts w:ascii="Times New Roman" w:hAnsi="Times New Roman"/>
          <w:b/>
          <w:sz w:val="20"/>
          <w:szCs w:val="24"/>
        </w:rPr>
        <w:t>Hidayat</w:t>
      </w:r>
      <w:proofErr w:type="spellEnd"/>
      <w:r w:rsidRPr="00FB1564">
        <w:rPr>
          <w:rFonts w:ascii="Times New Roman" w:hAnsi="Times New Roman"/>
          <w:b/>
          <w:sz w:val="20"/>
          <w:szCs w:val="24"/>
        </w:rPr>
        <w:t xml:space="preserve"> Tulloh</w:t>
      </w:r>
      <w:r w:rsidR="00EC6FDB" w:rsidRPr="00B202CC">
        <w:rPr>
          <w:rFonts w:ascii="Times New Roman" w:hAnsi="Times New Roman"/>
          <w:b/>
          <w:sz w:val="20"/>
          <w:szCs w:val="24"/>
          <w:vertAlign w:val="superscript"/>
        </w:rPr>
        <w:t>2</w:t>
      </w:r>
      <w:r w:rsidR="000A2B22" w:rsidRPr="00B202CC">
        <w:rPr>
          <w:rFonts w:ascii="Times New Roman" w:hAnsi="Times New Roman"/>
          <w:b/>
          <w:sz w:val="20"/>
          <w:szCs w:val="24"/>
          <w:vertAlign w:val="superscript"/>
        </w:rPr>
        <w:t>)</w:t>
      </w:r>
      <w:r w:rsidR="00BC49E9" w:rsidRPr="00EE498D">
        <w:rPr>
          <w:rFonts w:ascii="Times New Roman" w:hAnsi="Times New Roman"/>
          <w:sz w:val="20"/>
          <w:szCs w:val="24"/>
          <w:lang w:val="id-ID"/>
        </w:rPr>
        <w:t xml:space="preserve"> </w:t>
      </w:r>
      <w:r w:rsidRPr="00FB1564">
        <w:rPr>
          <w:rFonts w:ascii="Times New Roman" w:hAnsi="Times New Roman"/>
          <w:b/>
          <w:sz w:val="20"/>
          <w:szCs w:val="24"/>
          <w:lang w:val="id-ID"/>
        </w:rPr>
        <w:t>Cahyadi Julianto</w:t>
      </w:r>
      <w:r>
        <w:rPr>
          <w:rFonts w:ascii="Times New Roman" w:hAnsi="Times New Roman"/>
          <w:b/>
          <w:sz w:val="20"/>
          <w:szCs w:val="24"/>
          <w:vertAlign w:val="superscript"/>
        </w:rPr>
        <w:t>3</w:t>
      </w:r>
      <w:r w:rsidRPr="00B202CC">
        <w:rPr>
          <w:rFonts w:ascii="Times New Roman" w:hAnsi="Times New Roman"/>
          <w:b/>
          <w:sz w:val="20"/>
          <w:szCs w:val="24"/>
          <w:vertAlign w:val="superscript"/>
        </w:rPr>
        <w:t>)</w:t>
      </w:r>
    </w:p>
    <w:p w:rsidR="00EC6FDB" w:rsidRPr="00BC49E9" w:rsidRDefault="00FB1564" w:rsidP="00FB1564">
      <w:pPr>
        <w:pStyle w:val="NoSpacing"/>
        <w:ind w:left="284"/>
        <w:jc w:val="center"/>
        <w:rPr>
          <w:rFonts w:ascii="Times New Roman" w:hAnsi="Times New Roman"/>
          <w:sz w:val="20"/>
          <w:szCs w:val="20"/>
        </w:rPr>
      </w:pPr>
      <w:r w:rsidRPr="00FB1564">
        <w:rPr>
          <w:rFonts w:ascii="Times New Roman" w:hAnsi="Times New Roman"/>
          <w:sz w:val="20"/>
          <w:szCs w:val="20"/>
          <w:vertAlign w:val="superscript"/>
        </w:rPr>
        <w:t>1) 2) 3)</w:t>
      </w:r>
      <w:r>
        <w:rPr>
          <w:rFonts w:ascii="Times New Roman" w:hAnsi="Times New Roman"/>
          <w:sz w:val="20"/>
          <w:szCs w:val="20"/>
        </w:rPr>
        <w:t xml:space="preserve"> </w:t>
      </w:r>
      <w:r w:rsidR="00000093">
        <w:rPr>
          <w:rFonts w:ascii="Times New Roman" w:hAnsi="Times New Roman"/>
          <w:sz w:val="20"/>
          <w:szCs w:val="20"/>
        </w:rPr>
        <w:t>Petroleum Engineering Department</w:t>
      </w:r>
      <w:r w:rsidR="00B202CC">
        <w:rPr>
          <w:rFonts w:ascii="Times New Roman" w:hAnsi="Times New Roman"/>
          <w:sz w:val="20"/>
          <w:szCs w:val="20"/>
        </w:rPr>
        <w:t xml:space="preserve">, </w:t>
      </w:r>
      <w:r w:rsidR="00000093">
        <w:rPr>
          <w:rFonts w:ascii="Times New Roman" w:hAnsi="Times New Roman"/>
          <w:sz w:val="20"/>
          <w:szCs w:val="20"/>
        </w:rPr>
        <w:t xml:space="preserve">Faculty </w:t>
      </w:r>
      <w:proofErr w:type="gramStart"/>
      <w:r w:rsidR="00000093">
        <w:rPr>
          <w:rFonts w:ascii="Times New Roman" w:hAnsi="Times New Roman"/>
          <w:sz w:val="20"/>
          <w:szCs w:val="20"/>
        </w:rPr>
        <w:t>Of</w:t>
      </w:r>
      <w:proofErr w:type="gramEnd"/>
      <w:r w:rsidR="00000093">
        <w:rPr>
          <w:rFonts w:ascii="Times New Roman" w:hAnsi="Times New Roman"/>
          <w:sz w:val="20"/>
          <w:szCs w:val="20"/>
        </w:rPr>
        <w:t xml:space="preserve"> Mineral Technology</w:t>
      </w:r>
      <w:r w:rsidR="00B202CC">
        <w:rPr>
          <w:rFonts w:ascii="Times New Roman" w:hAnsi="Times New Roman"/>
          <w:sz w:val="20"/>
          <w:szCs w:val="20"/>
        </w:rPr>
        <w:t>, UPN Veteran Yogyakarta</w:t>
      </w:r>
    </w:p>
    <w:p w:rsidR="00A04A9E" w:rsidRPr="00BC49E9" w:rsidRDefault="00A04A9E" w:rsidP="00A04A9E">
      <w:pPr>
        <w:pStyle w:val="NoSpacing"/>
        <w:jc w:val="center"/>
        <w:rPr>
          <w:rFonts w:ascii="Times New Roman" w:hAnsi="Times New Roman"/>
          <w:sz w:val="20"/>
          <w:szCs w:val="20"/>
        </w:rPr>
      </w:pPr>
      <w:r w:rsidRPr="00BC49E9">
        <w:rPr>
          <w:rFonts w:ascii="Times New Roman" w:hAnsi="Times New Roman"/>
          <w:i/>
          <w:sz w:val="20"/>
          <w:szCs w:val="20"/>
          <w:lang w:val="id-ID"/>
        </w:rPr>
        <w:t>*</w:t>
      </w:r>
      <w:r w:rsidRPr="00BC49E9">
        <w:rPr>
          <w:rFonts w:ascii="Times New Roman" w:hAnsi="Times New Roman"/>
          <w:sz w:val="20"/>
          <w:szCs w:val="20"/>
          <w:lang w:val="id-ID"/>
        </w:rPr>
        <w:t xml:space="preserve"> email</w:t>
      </w:r>
      <w:r w:rsidR="00910A6D">
        <w:rPr>
          <w:rFonts w:ascii="Times New Roman" w:hAnsi="Times New Roman"/>
          <w:sz w:val="20"/>
          <w:szCs w:val="20"/>
          <w:lang w:val="id-ID"/>
        </w:rPr>
        <w:t xml:space="preserve"> korespondensi</w:t>
      </w:r>
      <w:r w:rsidR="00B202CC">
        <w:rPr>
          <w:rFonts w:ascii="Times New Roman" w:hAnsi="Times New Roman"/>
          <w:sz w:val="20"/>
          <w:szCs w:val="20"/>
        </w:rPr>
        <w:t xml:space="preserve">: </w:t>
      </w:r>
      <w:hyperlink r:id="rId10" w:history="1">
        <w:r w:rsidR="00FB1564" w:rsidRPr="007E2ED4">
          <w:rPr>
            <w:rStyle w:val="Hyperlink"/>
            <w:rFonts w:ascii="Times New Roman" w:hAnsi="Times New Roman"/>
            <w:sz w:val="20"/>
            <w:szCs w:val="20"/>
          </w:rPr>
          <w:t>dimasramadhanftm@gmail.com</w:t>
        </w:r>
      </w:hyperlink>
      <w:r w:rsidR="00B202CC">
        <w:rPr>
          <w:rFonts w:ascii="Times New Roman" w:hAnsi="Times New Roman"/>
          <w:sz w:val="20"/>
          <w:szCs w:val="20"/>
        </w:rPr>
        <w:t xml:space="preserve"> </w:t>
      </w:r>
    </w:p>
    <w:p w:rsidR="00EC6FDB" w:rsidRPr="00B96938" w:rsidRDefault="00EC6FDB" w:rsidP="006354C2">
      <w:pPr>
        <w:pStyle w:val="NoSpacing"/>
        <w:rPr>
          <w:rFonts w:ascii="Times New Roman" w:hAnsi="Times New Roman"/>
          <w:sz w:val="20"/>
          <w:szCs w:val="20"/>
        </w:rPr>
      </w:pPr>
    </w:p>
    <w:p w:rsidR="00EC6FDB" w:rsidRPr="00EC6FDB" w:rsidRDefault="00EC6FDB" w:rsidP="002C1023">
      <w:pPr>
        <w:pStyle w:val="NoSpacing"/>
        <w:spacing w:after="120"/>
        <w:rPr>
          <w:rFonts w:ascii="Times New Roman" w:hAnsi="Times New Roman"/>
          <w:sz w:val="20"/>
          <w:szCs w:val="20"/>
        </w:rPr>
      </w:pPr>
    </w:p>
    <w:p w:rsidR="002A6E66" w:rsidRPr="00A26C60" w:rsidRDefault="00EE498D" w:rsidP="00A26C60">
      <w:pPr>
        <w:pStyle w:val="NoSpacing"/>
        <w:spacing w:after="120"/>
        <w:jc w:val="center"/>
        <w:rPr>
          <w:rFonts w:ascii="Times New Roman" w:hAnsi="Times New Roman"/>
          <w:b/>
          <w:sz w:val="20"/>
          <w:szCs w:val="20"/>
          <w:lang w:val="id-ID"/>
        </w:rPr>
      </w:pPr>
      <w:r w:rsidRPr="00A26C60">
        <w:rPr>
          <w:rFonts w:ascii="Times New Roman" w:hAnsi="Times New Roman"/>
          <w:b/>
          <w:sz w:val="20"/>
          <w:szCs w:val="20"/>
          <w:lang w:val="id-ID"/>
        </w:rPr>
        <w:t>ABSTRACT</w:t>
      </w:r>
    </w:p>
    <w:p w:rsidR="00FB1564" w:rsidRDefault="00FB1564" w:rsidP="00543FED">
      <w:pPr>
        <w:spacing w:after="0"/>
        <w:jc w:val="both"/>
        <w:rPr>
          <w:rFonts w:ascii="Times New Roman" w:hAnsi="Times New Roman"/>
          <w:sz w:val="20"/>
          <w:szCs w:val="20"/>
        </w:rPr>
      </w:pPr>
    </w:p>
    <w:p w:rsidR="00FB1564" w:rsidRDefault="00FB1564" w:rsidP="00DB6585">
      <w:pPr>
        <w:spacing w:after="0" w:line="240" w:lineRule="auto"/>
        <w:jc w:val="both"/>
        <w:rPr>
          <w:rFonts w:ascii="Times New Roman" w:hAnsi="Times New Roman"/>
          <w:sz w:val="20"/>
          <w:szCs w:val="20"/>
        </w:rPr>
      </w:pPr>
      <w:r w:rsidRPr="00FB1564">
        <w:rPr>
          <w:rFonts w:ascii="Times New Roman" w:hAnsi="Times New Roman"/>
          <w:sz w:val="20"/>
          <w:szCs w:val="20"/>
        </w:rPr>
        <w:t xml:space="preserve">As fracturing materials, fracturing fluid and </w:t>
      </w:r>
      <w:proofErr w:type="spellStart"/>
      <w:r w:rsidRPr="00FB1564">
        <w:rPr>
          <w:rFonts w:ascii="Times New Roman" w:hAnsi="Times New Roman"/>
          <w:sz w:val="20"/>
          <w:szCs w:val="20"/>
        </w:rPr>
        <w:t>proppant</w:t>
      </w:r>
      <w:proofErr w:type="spellEnd"/>
      <w:r w:rsidRPr="00FB1564">
        <w:rPr>
          <w:rFonts w:ascii="Times New Roman" w:hAnsi="Times New Roman"/>
          <w:sz w:val="20"/>
          <w:szCs w:val="20"/>
        </w:rPr>
        <w:t xml:space="preserve"> are two very important parameters in doing hydraulic fracturing design. The combination of </w:t>
      </w:r>
      <w:proofErr w:type="spellStart"/>
      <w:r>
        <w:rPr>
          <w:rFonts w:ascii="Times New Roman" w:hAnsi="Times New Roman"/>
          <w:sz w:val="20"/>
          <w:szCs w:val="20"/>
        </w:rPr>
        <w:t>fractuirng</w:t>
      </w:r>
      <w:proofErr w:type="spellEnd"/>
      <w:r w:rsidRPr="00FB1564">
        <w:rPr>
          <w:rFonts w:ascii="Times New Roman" w:hAnsi="Times New Roman"/>
          <w:sz w:val="20"/>
          <w:szCs w:val="20"/>
        </w:rPr>
        <w:t xml:space="preserve"> fluid and </w:t>
      </w:r>
      <w:proofErr w:type="spellStart"/>
      <w:r w:rsidRPr="00FB1564">
        <w:rPr>
          <w:rFonts w:ascii="Times New Roman" w:hAnsi="Times New Roman"/>
          <w:sz w:val="20"/>
          <w:szCs w:val="20"/>
        </w:rPr>
        <w:t>proppant</w:t>
      </w:r>
      <w:proofErr w:type="spellEnd"/>
      <w:r w:rsidRPr="00FB1564">
        <w:rPr>
          <w:rFonts w:ascii="Times New Roman" w:hAnsi="Times New Roman"/>
          <w:sz w:val="20"/>
          <w:szCs w:val="20"/>
        </w:rPr>
        <w:t xml:space="preserve"> selection is the main focus and determinant of success in the hydraulic fracturing process.</w:t>
      </w:r>
      <w:r>
        <w:rPr>
          <w:rFonts w:ascii="Times New Roman" w:hAnsi="Times New Roman"/>
          <w:sz w:val="20"/>
          <w:szCs w:val="20"/>
        </w:rPr>
        <w:t xml:space="preserve"> </w:t>
      </w:r>
      <w:r w:rsidR="00000093" w:rsidRPr="00000093">
        <w:rPr>
          <w:rFonts w:ascii="Times New Roman" w:hAnsi="Times New Roman"/>
          <w:sz w:val="20"/>
          <w:szCs w:val="20"/>
        </w:rPr>
        <w:t xml:space="preserve">The high viscosity of the fracturing fluid will make it easier for the </w:t>
      </w:r>
      <w:proofErr w:type="spellStart"/>
      <w:r w:rsidR="00000093" w:rsidRPr="00000093">
        <w:rPr>
          <w:rFonts w:ascii="Times New Roman" w:hAnsi="Times New Roman"/>
          <w:sz w:val="20"/>
          <w:szCs w:val="20"/>
        </w:rPr>
        <w:t>proppant</w:t>
      </w:r>
      <w:proofErr w:type="spellEnd"/>
      <w:r w:rsidR="00000093" w:rsidRPr="00000093">
        <w:rPr>
          <w:rFonts w:ascii="Times New Roman" w:hAnsi="Times New Roman"/>
          <w:sz w:val="20"/>
          <w:szCs w:val="20"/>
        </w:rPr>
        <w:t xml:space="preserve"> to enter to fill the fractured parts, so that the conductivity of the fractured well will be better and can increase the folds of increase (FOI) compared to fracturing fluid with lower viscosity (Economides, 2000).</w:t>
      </w:r>
      <w:r w:rsidR="00000093">
        <w:rPr>
          <w:rFonts w:ascii="Times New Roman" w:hAnsi="Times New Roman"/>
          <w:sz w:val="20"/>
          <w:szCs w:val="20"/>
        </w:rPr>
        <w:t xml:space="preserve"> </w:t>
      </w:r>
      <w:r w:rsidR="00000093" w:rsidRPr="00000093">
        <w:rPr>
          <w:rFonts w:ascii="Times New Roman" w:hAnsi="Times New Roman"/>
          <w:sz w:val="20"/>
          <w:szCs w:val="20"/>
        </w:rPr>
        <w:t xml:space="preserve">This research was conducted by using the sensitivity test method on the selection of fracturing fluid combinations carried out at the TX-01 well with various sizes of </w:t>
      </w:r>
      <w:proofErr w:type="spellStart"/>
      <w:r w:rsidR="00000093" w:rsidRPr="00000093">
        <w:rPr>
          <w:rFonts w:ascii="Times New Roman" w:hAnsi="Times New Roman"/>
          <w:sz w:val="20"/>
          <w:szCs w:val="20"/>
        </w:rPr>
        <w:t>proppants</w:t>
      </w:r>
      <w:proofErr w:type="spellEnd"/>
      <w:r w:rsidR="00000093" w:rsidRPr="00000093">
        <w:rPr>
          <w:rFonts w:ascii="Times New Roman" w:hAnsi="Times New Roman"/>
          <w:sz w:val="20"/>
          <w:szCs w:val="20"/>
        </w:rPr>
        <w:t xml:space="preserve"> (namely; 12/18, 16/20, and 20/40 mesh) with the </w:t>
      </w:r>
      <w:proofErr w:type="spellStart"/>
      <w:r w:rsidR="00000093" w:rsidRPr="00000093">
        <w:rPr>
          <w:rFonts w:ascii="Times New Roman" w:hAnsi="Times New Roman"/>
          <w:sz w:val="20"/>
          <w:szCs w:val="20"/>
        </w:rPr>
        <w:t>proppant</w:t>
      </w:r>
      <w:proofErr w:type="spellEnd"/>
      <w:r w:rsidR="00000093" w:rsidRPr="00000093">
        <w:rPr>
          <w:rFonts w:ascii="Times New Roman" w:hAnsi="Times New Roman"/>
          <w:sz w:val="20"/>
          <w:szCs w:val="20"/>
        </w:rPr>
        <w:t xml:space="preserve"> selec</w:t>
      </w:r>
      <w:r w:rsidR="004369A4">
        <w:rPr>
          <w:rFonts w:ascii="Times New Roman" w:hAnsi="Times New Roman"/>
          <w:sz w:val="20"/>
          <w:szCs w:val="20"/>
        </w:rPr>
        <w:t xml:space="preserve">ted being ceramic </w:t>
      </w:r>
      <w:proofErr w:type="spellStart"/>
      <w:r w:rsidR="004369A4">
        <w:rPr>
          <w:rFonts w:ascii="Times New Roman" w:hAnsi="Times New Roman"/>
          <w:sz w:val="20"/>
          <w:szCs w:val="20"/>
        </w:rPr>
        <w:t>proppant</w:t>
      </w:r>
      <w:proofErr w:type="spellEnd"/>
      <w:r w:rsidR="004369A4">
        <w:rPr>
          <w:rFonts w:ascii="Times New Roman" w:hAnsi="Times New Roman"/>
          <w:sz w:val="20"/>
          <w:szCs w:val="20"/>
        </w:rPr>
        <w:t xml:space="preserve"> type </w:t>
      </w:r>
      <w:proofErr w:type="spellStart"/>
      <w:r w:rsidR="004369A4">
        <w:rPr>
          <w:rFonts w:ascii="Times New Roman" w:hAnsi="Times New Roman"/>
          <w:sz w:val="20"/>
          <w:szCs w:val="20"/>
        </w:rPr>
        <w:t>c</w:t>
      </w:r>
      <w:r w:rsidR="00000093" w:rsidRPr="00000093">
        <w:rPr>
          <w:rFonts w:ascii="Times New Roman" w:hAnsi="Times New Roman"/>
          <w:sz w:val="20"/>
          <w:szCs w:val="20"/>
        </w:rPr>
        <w:t>arbolite</w:t>
      </w:r>
      <w:proofErr w:type="spellEnd"/>
      <w:r w:rsidR="00000093" w:rsidRPr="00000093">
        <w:rPr>
          <w:rFonts w:ascii="Times New Roman" w:hAnsi="Times New Roman"/>
          <w:sz w:val="20"/>
          <w:szCs w:val="20"/>
        </w:rPr>
        <w:t xml:space="preserve"> performed using the </w:t>
      </w:r>
      <w:proofErr w:type="spellStart"/>
      <w:r w:rsidR="00000093" w:rsidRPr="00000093">
        <w:rPr>
          <w:rFonts w:ascii="Times New Roman" w:hAnsi="Times New Roman"/>
          <w:sz w:val="20"/>
          <w:szCs w:val="20"/>
        </w:rPr>
        <w:t>Frac</w:t>
      </w:r>
      <w:r w:rsidR="004369A4">
        <w:rPr>
          <w:rFonts w:ascii="Times New Roman" w:hAnsi="Times New Roman"/>
          <w:sz w:val="20"/>
          <w:szCs w:val="20"/>
        </w:rPr>
        <w:t>CADE</w:t>
      </w:r>
      <w:proofErr w:type="spellEnd"/>
      <w:r w:rsidR="00000093" w:rsidRPr="00000093">
        <w:rPr>
          <w:rFonts w:ascii="Times New Roman" w:hAnsi="Times New Roman"/>
          <w:sz w:val="20"/>
          <w:szCs w:val="20"/>
        </w:rPr>
        <w:t xml:space="preserve"> simulator. </w:t>
      </w:r>
      <w:r w:rsidR="004369A4">
        <w:rPr>
          <w:rFonts w:ascii="Times New Roman" w:hAnsi="Times New Roman"/>
          <w:sz w:val="20"/>
          <w:szCs w:val="20"/>
        </w:rPr>
        <w:t>Fracturing</w:t>
      </w:r>
      <w:r w:rsidR="00000093" w:rsidRPr="00000093">
        <w:rPr>
          <w:rFonts w:ascii="Times New Roman" w:hAnsi="Times New Roman"/>
          <w:sz w:val="20"/>
          <w:szCs w:val="20"/>
        </w:rPr>
        <w:t xml:space="preserve"> fluid was selected based on its viscosity, namely YF240OD and PrimeFRAC20 fluids with viscosity</w:t>
      </w:r>
      <w:r w:rsidR="004369A4">
        <w:rPr>
          <w:rFonts w:ascii="Times New Roman" w:hAnsi="Times New Roman"/>
          <w:sz w:val="20"/>
          <w:szCs w:val="20"/>
        </w:rPr>
        <w:t xml:space="preserve"> value</w:t>
      </w:r>
      <w:r w:rsidR="00000093" w:rsidRPr="00000093">
        <w:rPr>
          <w:rFonts w:ascii="Times New Roman" w:hAnsi="Times New Roman"/>
          <w:sz w:val="20"/>
          <w:szCs w:val="20"/>
        </w:rPr>
        <w:t xml:space="preserve"> of 4.123 </w:t>
      </w:r>
      <w:proofErr w:type="spellStart"/>
      <w:r w:rsidR="00000093" w:rsidRPr="00000093">
        <w:rPr>
          <w:rFonts w:ascii="Times New Roman" w:hAnsi="Times New Roman"/>
          <w:sz w:val="20"/>
          <w:szCs w:val="20"/>
        </w:rPr>
        <w:t>cp</w:t>
      </w:r>
      <w:proofErr w:type="spellEnd"/>
      <w:r w:rsidR="00000093" w:rsidRPr="00000093">
        <w:rPr>
          <w:rFonts w:ascii="Times New Roman" w:hAnsi="Times New Roman"/>
          <w:sz w:val="20"/>
          <w:szCs w:val="20"/>
        </w:rPr>
        <w:t xml:space="preserve"> and 171.1 </w:t>
      </w:r>
      <w:proofErr w:type="spellStart"/>
      <w:r w:rsidR="00000093" w:rsidRPr="00000093">
        <w:rPr>
          <w:rFonts w:ascii="Times New Roman" w:hAnsi="Times New Roman"/>
          <w:sz w:val="20"/>
          <w:szCs w:val="20"/>
        </w:rPr>
        <w:t>cp</w:t>
      </w:r>
      <w:proofErr w:type="spellEnd"/>
      <w:r w:rsidR="00000093" w:rsidRPr="00000093">
        <w:rPr>
          <w:rFonts w:ascii="Times New Roman" w:hAnsi="Times New Roman"/>
          <w:sz w:val="20"/>
          <w:szCs w:val="20"/>
        </w:rPr>
        <w:t>, with a fixed pump rate of 14 bpm.</w:t>
      </w:r>
      <w:r w:rsidR="00000093">
        <w:rPr>
          <w:rFonts w:ascii="Times New Roman" w:hAnsi="Times New Roman"/>
          <w:sz w:val="20"/>
          <w:szCs w:val="20"/>
        </w:rPr>
        <w:t xml:space="preserve"> </w:t>
      </w:r>
      <w:r w:rsidR="004369A4" w:rsidRPr="004369A4">
        <w:rPr>
          <w:rFonts w:ascii="Times New Roman" w:hAnsi="Times New Roman"/>
          <w:sz w:val="20"/>
          <w:szCs w:val="20"/>
        </w:rPr>
        <w:t xml:space="preserve">The results showed that the combination </w:t>
      </w:r>
      <w:r w:rsidR="004369A4">
        <w:rPr>
          <w:rFonts w:ascii="Times New Roman" w:hAnsi="Times New Roman"/>
          <w:sz w:val="20"/>
          <w:szCs w:val="20"/>
        </w:rPr>
        <w:t xml:space="preserve">of </w:t>
      </w:r>
      <w:r w:rsidR="004369A4" w:rsidRPr="004369A4">
        <w:rPr>
          <w:rFonts w:ascii="Times New Roman" w:hAnsi="Times New Roman"/>
          <w:sz w:val="20"/>
          <w:szCs w:val="20"/>
        </w:rPr>
        <w:t xml:space="preserve">high-viscosity </w:t>
      </w:r>
      <w:r w:rsidR="004369A4">
        <w:rPr>
          <w:rFonts w:ascii="Times New Roman" w:hAnsi="Times New Roman"/>
          <w:sz w:val="20"/>
          <w:szCs w:val="20"/>
        </w:rPr>
        <w:t>fluids (</w:t>
      </w:r>
      <w:r w:rsidR="004369A4" w:rsidRPr="00000093">
        <w:rPr>
          <w:rFonts w:ascii="Times New Roman" w:hAnsi="Times New Roman"/>
          <w:sz w:val="20"/>
          <w:szCs w:val="20"/>
        </w:rPr>
        <w:t>PrimeFRAC20</w:t>
      </w:r>
      <w:r w:rsidR="004369A4">
        <w:rPr>
          <w:rFonts w:ascii="Times New Roman" w:hAnsi="Times New Roman"/>
          <w:sz w:val="20"/>
          <w:szCs w:val="20"/>
        </w:rPr>
        <w:t>)</w:t>
      </w:r>
      <w:r w:rsidR="004369A4" w:rsidRPr="004369A4">
        <w:rPr>
          <w:rFonts w:ascii="Times New Roman" w:hAnsi="Times New Roman"/>
          <w:sz w:val="20"/>
          <w:szCs w:val="20"/>
        </w:rPr>
        <w:t xml:space="preserve"> and 16/20 </w:t>
      </w:r>
      <w:r w:rsidR="004369A4">
        <w:rPr>
          <w:rFonts w:ascii="Times New Roman" w:hAnsi="Times New Roman"/>
          <w:sz w:val="20"/>
          <w:szCs w:val="20"/>
        </w:rPr>
        <w:t xml:space="preserve">mesh </w:t>
      </w:r>
      <w:proofErr w:type="spellStart"/>
      <w:r w:rsidR="004369A4" w:rsidRPr="004369A4">
        <w:rPr>
          <w:rFonts w:ascii="Times New Roman" w:hAnsi="Times New Roman"/>
          <w:sz w:val="20"/>
          <w:szCs w:val="20"/>
        </w:rPr>
        <w:t>proppant</w:t>
      </w:r>
      <w:proofErr w:type="spellEnd"/>
      <w:r w:rsidR="004369A4" w:rsidRPr="004369A4">
        <w:rPr>
          <w:rFonts w:ascii="Times New Roman" w:hAnsi="Times New Roman"/>
          <w:sz w:val="20"/>
          <w:szCs w:val="20"/>
        </w:rPr>
        <w:t xml:space="preserve"> size resulted in a greater incremental fold (FOI</w:t>
      </w:r>
      <w:r w:rsidR="004369A4">
        <w:rPr>
          <w:rFonts w:ascii="Times New Roman" w:hAnsi="Times New Roman"/>
          <w:sz w:val="20"/>
          <w:szCs w:val="20"/>
        </w:rPr>
        <w:t xml:space="preserve">) between the choice of another </w:t>
      </w:r>
      <w:r w:rsidR="004369A4" w:rsidRPr="004369A4">
        <w:rPr>
          <w:rFonts w:ascii="Times New Roman" w:hAnsi="Times New Roman"/>
          <w:sz w:val="20"/>
          <w:szCs w:val="20"/>
        </w:rPr>
        <w:t xml:space="preserve">combination </w:t>
      </w:r>
      <w:r w:rsidR="004369A4">
        <w:rPr>
          <w:rFonts w:ascii="Times New Roman" w:hAnsi="Times New Roman"/>
          <w:sz w:val="20"/>
          <w:szCs w:val="20"/>
        </w:rPr>
        <w:t xml:space="preserve">fracturing fluids and </w:t>
      </w:r>
      <w:proofErr w:type="spellStart"/>
      <w:r w:rsidR="004369A4" w:rsidRPr="004369A4">
        <w:rPr>
          <w:rFonts w:ascii="Times New Roman" w:hAnsi="Times New Roman"/>
          <w:sz w:val="20"/>
          <w:szCs w:val="20"/>
        </w:rPr>
        <w:t>proppant</w:t>
      </w:r>
      <w:proofErr w:type="spellEnd"/>
      <w:r w:rsidR="004369A4" w:rsidRPr="004369A4">
        <w:rPr>
          <w:rFonts w:ascii="Times New Roman" w:hAnsi="Times New Roman"/>
          <w:sz w:val="20"/>
          <w:szCs w:val="20"/>
        </w:rPr>
        <w:t xml:space="preserve"> sizes, namely 6.25.</w:t>
      </w:r>
    </w:p>
    <w:p w:rsidR="00FB1564" w:rsidRPr="00A26C60" w:rsidRDefault="00FB1564" w:rsidP="00543FED">
      <w:pPr>
        <w:spacing w:after="0"/>
        <w:jc w:val="both"/>
        <w:rPr>
          <w:rFonts w:ascii="Times New Roman" w:hAnsi="Times New Roman"/>
          <w:sz w:val="20"/>
          <w:szCs w:val="20"/>
        </w:rPr>
      </w:pPr>
    </w:p>
    <w:p w:rsidR="00543FED" w:rsidRPr="00A26C60" w:rsidRDefault="00543FED" w:rsidP="00543FED">
      <w:pPr>
        <w:spacing w:after="0"/>
        <w:jc w:val="both"/>
        <w:rPr>
          <w:rFonts w:ascii="Times New Roman" w:hAnsi="Times New Roman"/>
          <w:b/>
          <w:sz w:val="20"/>
          <w:szCs w:val="20"/>
        </w:rPr>
      </w:pPr>
      <w:r w:rsidRPr="00A26C60">
        <w:rPr>
          <w:rFonts w:ascii="Times New Roman" w:hAnsi="Times New Roman"/>
          <w:b/>
          <w:sz w:val="20"/>
          <w:szCs w:val="20"/>
        </w:rPr>
        <w:t xml:space="preserve">Keywords: </w:t>
      </w:r>
      <w:r w:rsidR="00DB6585">
        <w:rPr>
          <w:rFonts w:ascii="Times New Roman" w:hAnsi="Times New Roman"/>
          <w:sz w:val="20"/>
          <w:szCs w:val="20"/>
        </w:rPr>
        <w:t>folds of increase; fracturing fluids; hydraulic fracturing</w:t>
      </w:r>
      <w:r w:rsidRPr="00A26C60">
        <w:rPr>
          <w:rFonts w:ascii="Times New Roman" w:hAnsi="Times New Roman"/>
          <w:sz w:val="20"/>
          <w:szCs w:val="20"/>
        </w:rPr>
        <w:t xml:space="preserve">; </w:t>
      </w:r>
      <w:proofErr w:type="spellStart"/>
      <w:r w:rsidR="00DB6585">
        <w:rPr>
          <w:rFonts w:ascii="Times New Roman" w:hAnsi="Times New Roman"/>
          <w:sz w:val="20"/>
          <w:szCs w:val="20"/>
        </w:rPr>
        <w:t>proppant</w:t>
      </w:r>
      <w:proofErr w:type="spellEnd"/>
      <w:r w:rsidR="00DB6585">
        <w:rPr>
          <w:rFonts w:ascii="Times New Roman" w:hAnsi="Times New Roman"/>
          <w:sz w:val="20"/>
          <w:szCs w:val="20"/>
        </w:rPr>
        <w:t xml:space="preserve"> sizes; viscosity.</w:t>
      </w:r>
    </w:p>
    <w:p w:rsidR="00543FED" w:rsidRDefault="00543FED" w:rsidP="002C1023">
      <w:pPr>
        <w:pStyle w:val="NoSpacing"/>
        <w:spacing w:after="120"/>
        <w:jc w:val="both"/>
        <w:rPr>
          <w:rFonts w:ascii="Times New Roman" w:hAnsi="Times New Roman"/>
          <w:sz w:val="20"/>
          <w:szCs w:val="20"/>
        </w:rPr>
      </w:pPr>
    </w:p>
    <w:p w:rsidR="002A6E66" w:rsidRPr="0024302B" w:rsidRDefault="002A6E66" w:rsidP="0018484B">
      <w:pPr>
        <w:pStyle w:val="NoSpacing"/>
        <w:spacing w:after="120"/>
        <w:ind w:left="567" w:hanging="567"/>
        <w:rPr>
          <w:rFonts w:ascii="Times New Roman" w:hAnsi="Times New Roman"/>
          <w:b/>
          <w:sz w:val="20"/>
          <w:szCs w:val="20"/>
        </w:rPr>
      </w:pPr>
      <w:r w:rsidRPr="00A04A9E">
        <w:rPr>
          <w:rFonts w:ascii="Times New Roman" w:hAnsi="Times New Roman"/>
          <w:b/>
          <w:sz w:val="20"/>
          <w:szCs w:val="20"/>
        </w:rPr>
        <w:t>I.</w:t>
      </w:r>
      <w:r w:rsidRPr="00A04A9E">
        <w:rPr>
          <w:rFonts w:ascii="Times New Roman" w:hAnsi="Times New Roman"/>
          <w:b/>
          <w:sz w:val="20"/>
          <w:szCs w:val="20"/>
        </w:rPr>
        <w:tab/>
      </w:r>
      <w:r w:rsidR="0024302B">
        <w:rPr>
          <w:rFonts w:ascii="Times New Roman" w:hAnsi="Times New Roman"/>
          <w:b/>
          <w:sz w:val="20"/>
          <w:szCs w:val="20"/>
        </w:rPr>
        <w:t>INTRODUCTION</w:t>
      </w:r>
    </w:p>
    <w:p w:rsidR="00DB6585" w:rsidRDefault="00DB6585" w:rsidP="00DB6585">
      <w:pPr>
        <w:spacing w:after="120" w:line="240" w:lineRule="auto"/>
        <w:jc w:val="both"/>
        <w:rPr>
          <w:rFonts w:ascii="Times New Roman" w:eastAsia="Times New Roman" w:hAnsi="Times New Roman"/>
          <w:sz w:val="20"/>
          <w:szCs w:val="20"/>
        </w:rPr>
      </w:pPr>
      <w:r w:rsidRPr="00DB6585">
        <w:rPr>
          <w:rFonts w:ascii="Times New Roman" w:eastAsia="Times New Roman" w:hAnsi="Times New Roman"/>
          <w:sz w:val="20"/>
          <w:szCs w:val="20"/>
        </w:rPr>
        <w:t xml:space="preserve">Several factors that influence the success of hydraulic fracturing are the design of the fracturing fluid and </w:t>
      </w:r>
      <w:proofErr w:type="spellStart"/>
      <w:r w:rsidRPr="00DB6585">
        <w:rPr>
          <w:rFonts w:ascii="Times New Roman" w:eastAsia="Times New Roman" w:hAnsi="Times New Roman"/>
          <w:sz w:val="20"/>
          <w:szCs w:val="20"/>
        </w:rPr>
        <w:t>proppant</w:t>
      </w:r>
      <w:proofErr w:type="spellEnd"/>
      <w:r w:rsidRPr="00DB6585">
        <w:rPr>
          <w:rFonts w:ascii="Times New Roman" w:eastAsia="Times New Roman" w:hAnsi="Times New Roman"/>
          <w:sz w:val="20"/>
          <w:szCs w:val="20"/>
        </w:rPr>
        <w:t xml:space="preserve"> selection as the fracturing material treatment.</w:t>
      </w:r>
      <w:r>
        <w:rPr>
          <w:rFonts w:ascii="Times New Roman" w:eastAsia="Times New Roman" w:hAnsi="Times New Roman"/>
          <w:sz w:val="20"/>
          <w:szCs w:val="20"/>
        </w:rPr>
        <w:t xml:space="preserve"> </w:t>
      </w:r>
      <w:r w:rsidRPr="00DB6585">
        <w:rPr>
          <w:rFonts w:ascii="Times New Roman" w:eastAsia="Times New Roman" w:hAnsi="Times New Roman"/>
          <w:sz w:val="20"/>
          <w:szCs w:val="20"/>
        </w:rPr>
        <w:t xml:space="preserve">Assessment of the success of Hydraulic Fracturing activities can be used the FOI (Fold </w:t>
      </w:r>
      <w:proofErr w:type="gramStart"/>
      <w:r w:rsidRPr="00DB6585">
        <w:rPr>
          <w:rFonts w:ascii="Times New Roman" w:eastAsia="Times New Roman" w:hAnsi="Times New Roman"/>
          <w:sz w:val="20"/>
          <w:szCs w:val="20"/>
        </w:rPr>
        <w:t>Of</w:t>
      </w:r>
      <w:proofErr w:type="gramEnd"/>
      <w:r w:rsidRPr="00DB6585">
        <w:rPr>
          <w:rFonts w:ascii="Times New Roman" w:eastAsia="Times New Roman" w:hAnsi="Times New Roman"/>
          <w:sz w:val="20"/>
          <w:szCs w:val="20"/>
        </w:rPr>
        <w:t xml:space="preserve"> Increase) parameter</w:t>
      </w:r>
      <w:r>
        <w:rPr>
          <w:rFonts w:ascii="Times New Roman" w:eastAsia="Times New Roman" w:hAnsi="Times New Roman"/>
          <w:sz w:val="20"/>
          <w:szCs w:val="20"/>
        </w:rPr>
        <w:t xml:space="preserve"> </w:t>
      </w:r>
      <w:r w:rsidRPr="00DB6585">
        <w:rPr>
          <w:rFonts w:ascii="Times New Roman" w:eastAsia="Times New Roman" w:hAnsi="Times New Roman"/>
          <w:sz w:val="20"/>
          <w:szCs w:val="20"/>
        </w:rPr>
        <w:t>namely the comparison of the well productivity index after and before hydraulic fracturing.</w:t>
      </w:r>
      <w:r>
        <w:rPr>
          <w:rFonts w:ascii="Times New Roman" w:eastAsia="Times New Roman" w:hAnsi="Times New Roman"/>
          <w:sz w:val="20"/>
          <w:szCs w:val="20"/>
        </w:rPr>
        <w:t xml:space="preserve"> </w:t>
      </w:r>
      <w:r w:rsidRPr="00DB6585">
        <w:rPr>
          <w:rFonts w:ascii="Times New Roman" w:eastAsia="Times New Roman" w:hAnsi="Times New Roman"/>
          <w:sz w:val="20"/>
          <w:szCs w:val="20"/>
        </w:rPr>
        <w:t xml:space="preserve">The most important part in fracturing fluid is the viscosity parameter. The importance of viscosity in fracturing fluid is due to its ability to provide high conductivity results and to be able to transport </w:t>
      </w:r>
      <w:proofErr w:type="spellStart"/>
      <w:r w:rsidRPr="00DB6585">
        <w:rPr>
          <w:rFonts w:ascii="Times New Roman" w:eastAsia="Times New Roman" w:hAnsi="Times New Roman"/>
          <w:sz w:val="20"/>
          <w:szCs w:val="20"/>
        </w:rPr>
        <w:t>proppants</w:t>
      </w:r>
      <w:proofErr w:type="spellEnd"/>
      <w:r w:rsidRPr="00DB6585">
        <w:rPr>
          <w:rFonts w:ascii="Times New Roman" w:eastAsia="Times New Roman" w:hAnsi="Times New Roman"/>
          <w:sz w:val="20"/>
          <w:szCs w:val="20"/>
        </w:rPr>
        <w:t xml:space="preserve"> better than low-viscosity fluids, so fracturing fluids with high viscosity will provide a higher folds of increase (FOI) than low-viscosity fracturing fluids.</w:t>
      </w:r>
    </w:p>
    <w:p w:rsidR="00DB6585" w:rsidRDefault="00DB6585" w:rsidP="004311E5">
      <w:pPr>
        <w:spacing w:after="120" w:line="240" w:lineRule="auto"/>
        <w:jc w:val="both"/>
        <w:rPr>
          <w:rFonts w:ascii="Times New Roman" w:eastAsia="Times New Roman" w:hAnsi="Times New Roman"/>
          <w:sz w:val="20"/>
          <w:szCs w:val="20"/>
        </w:rPr>
      </w:pPr>
      <w:r w:rsidRPr="00DB6585">
        <w:rPr>
          <w:rFonts w:ascii="Times New Roman" w:eastAsia="Times New Roman" w:hAnsi="Times New Roman"/>
          <w:sz w:val="20"/>
          <w:szCs w:val="20"/>
        </w:rPr>
        <w:t xml:space="preserve">On the other hand, the development of </w:t>
      </w:r>
      <w:proofErr w:type="spellStart"/>
      <w:r w:rsidRPr="00DB6585">
        <w:rPr>
          <w:rFonts w:ascii="Times New Roman" w:eastAsia="Times New Roman" w:hAnsi="Times New Roman"/>
          <w:sz w:val="20"/>
          <w:szCs w:val="20"/>
        </w:rPr>
        <w:t>proppants</w:t>
      </w:r>
      <w:proofErr w:type="spellEnd"/>
      <w:r w:rsidRPr="00DB6585">
        <w:rPr>
          <w:rFonts w:ascii="Times New Roman" w:eastAsia="Times New Roman" w:hAnsi="Times New Roman"/>
          <w:sz w:val="20"/>
          <w:szCs w:val="20"/>
        </w:rPr>
        <w:t xml:space="preserve"> is also increasingly being carried out, starting with the type of sand, then RCS (resin coated sand) to ceramic </w:t>
      </w:r>
      <w:proofErr w:type="spellStart"/>
      <w:r w:rsidRPr="00DB6585">
        <w:rPr>
          <w:rFonts w:ascii="Times New Roman" w:eastAsia="Times New Roman" w:hAnsi="Times New Roman"/>
          <w:sz w:val="20"/>
          <w:szCs w:val="20"/>
        </w:rPr>
        <w:t>proppants</w:t>
      </w:r>
      <w:proofErr w:type="spellEnd"/>
      <w:r w:rsidRPr="00DB6585">
        <w:rPr>
          <w:rFonts w:ascii="Times New Roman" w:eastAsia="Times New Roman" w:hAnsi="Times New Roman"/>
          <w:sz w:val="20"/>
          <w:szCs w:val="20"/>
        </w:rPr>
        <w:t xml:space="preserve"> whose development is to be able to withstand higher </w:t>
      </w:r>
      <w:proofErr w:type="spellStart"/>
      <w:r w:rsidRPr="00DB6585">
        <w:rPr>
          <w:rFonts w:ascii="Times New Roman" w:eastAsia="Times New Roman" w:hAnsi="Times New Roman"/>
          <w:sz w:val="20"/>
          <w:szCs w:val="20"/>
        </w:rPr>
        <w:t>clossure</w:t>
      </w:r>
      <w:proofErr w:type="spellEnd"/>
      <w:r w:rsidRPr="00DB6585">
        <w:rPr>
          <w:rFonts w:ascii="Times New Roman" w:eastAsia="Times New Roman" w:hAnsi="Times New Roman"/>
          <w:sz w:val="20"/>
          <w:szCs w:val="20"/>
        </w:rPr>
        <w:t xml:space="preserve"> pressure. Furthermore, the selection of the </w:t>
      </w:r>
      <w:proofErr w:type="spellStart"/>
      <w:r w:rsidRPr="00DB6585">
        <w:rPr>
          <w:rFonts w:ascii="Times New Roman" w:eastAsia="Times New Roman" w:hAnsi="Times New Roman"/>
          <w:sz w:val="20"/>
          <w:szCs w:val="20"/>
        </w:rPr>
        <w:t>proppant</w:t>
      </w:r>
      <w:proofErr w:type="spellEnd"/>
      <w:r w:rsidRPr="00DB6585">
        <w:rPr>
          <w:rFonts w:ascii="Times New Roman" w:eastAsia="Times New Roman" w:hAnsi="Times New Roman"/>
          <w:sz w:val="20"/>
          <w:szCs w:val="20"/>
        </w:rPr>
        <w:t xml:space="preserve"> size needs to be done, this cannot be separated from the combination of the fracturing fluid design selection which also affects the amount of the FOI</w:t>
      </w:r>
      <w:r w:rsidR="004311E5">
        <w:rPr>
          <w:rFonts w:ascii="Times New Roman" w:eastAsia="Times New Roman" w:hAnsi="Times New Roman"/>
          <w:sz w:val="20"/>
          <w:szCs w:val="20"/>
        </w:rPr>
        <w:t xml:space="preserve"> value</w:t>
      </w:r>
      <w:r w:rsidRPr="00DB6585">
        <w:rPr>
          <w:rFonts w:ascii="Times New Roman" w:eastAsia="Times New Roman" w:hAnsi="Times New Roman"/>
          <w:sz w:val="20"/>
          <w:szCs w:val="20"/>
        </w:rPr>
        <w:t>.</w:t>
      </w:r>
      <w:r w:rsidR="004311E5">
        <w:rPr>
          <w:rFonts w:ascii="Times New Roman" w:eastAsia="Times New Roman" w:hAnsi="Times New Roman"/>
          <w:sz w:val="20"/>
          <w:szCs w:val="20"/>
        </w:rPr>
        <w:t xml:space="preserve"> T</w:t>
      </w:r>
      <w:r w:rsidR="004311E5" w:rsidRPr="004311E5">
        <w:rPr>
          <w:rFonts w:ascii="Times New Roman" w:eastAsia="Times New Roman" w:hAnsi="Times New Roman"/>
          <w:sz w:val="20"/>
          <w:szCs w:val="20"/>
        </w:rPr>
        <w:t xml:space="preserve">he larger the </w:t>
      </w:r>
      <w:proofErr w:type="spellStart"/>
      <w:r w:rsidR="004311E5" w:rsidRPr="004311E5">
        <w:rPr>
          <w:rFonts w:ascii="Times New Roman" w:eastAsia="Times New Roman" w:hAnsi="Times New Roman"/>
          <w:sz w:val="20"/>
          <w:szCs w:val="20"/>
        </w:rPr>
        <w:t>proppant</w:t>
      </w:r>
      <w:proofErr w:type="spellEnd"/>
      <w:r w:rsidR="004311E5" w:rsidRPr="004311E5">
        <w:rPr>
          <w:rFonts w:ascii="Times New Roman" w:eastAsia="Times New Roman" w:hAnsi="Times New Roman"/>
          <w:sz w:val="20"/>
          <w:szCs w:val="20"/>
        </w:rPr>
        <w:t xml:space="preserve"> size, the greater the permeability obtained</w:t>
      </w:r>
      <w:r w:rsidR="004311E5">
        <w:rPr>
          <w:rFonts w:ascii="Times New Roman" w:eastAsia="Times New Roman" w:hAnsi="Times New Roman"/>
          <w:sz w:val="20"/>
          <w:szCs w:val="20"/>
        </w:rPr>
        <w:t>,</w:t>
      </w:r>
      <w:r w:rsidR="004311E5" w:rsidRPr="004311E5">
        <w:rPr>
          <w:rFonts w:ascii="Times New Roman" w:eastAsia="Times New Roman" w:hAnsi="Times New Roman"/>
          <w:sz w:val="20"/>
          <w:szCs w:val="20"/>
        </w:rPr>
        <w:t xml:space="preserve"> so that the FOI </w:t>
      </w:r>
      <w:r w:rsidR="004311E5">
        <w:rPr>
          <w:rFonts w:ascii="Times New Roman" w:eastAsia="Times New Roman" w:hAnsi="Times New Roman"/>
          <w:sz w:val="20"/>
          <w:szCs w:val="20"/>
        </w:rPr>
        <w:t>value</w:t>
      </w:r>
      <w:r w:rsidR="004311E5" w:rsidRPr="004311E5">
        <w:rPr>
          <w:rFonts w:ascii="Times New Roman" w:eastAsia="Times New Roman" w:hAnsi="Times New Roman"/>
          <w:sz w:val="20"/>
          <w:szCs w:val="20"/>
        </w:rPr>
        <w:t xml:space="preserve"> will be even greater. In fact, the small size of the </w:t>
      </w:r>
      <w:proofErr w:type="spellStart"/>
      <w:r w:rsidR="004311E5" w:rsidRPr="004311E5">
        <w:rPr>
          <w:rFonts w:ascii="Times New Roman" w:eastAsia="Times New Roman" w:hAnsi="Times New Roman"/>
          <w:sz w:val="20"/>
          <w:szCs w:val="20"/>
        </w:rPr>
        <w:t>proppant</w:t>
      </w:r>
      <w:proofErr w:type="spellEnd"/>
      <w:r w:rsidR="004311E5" w:rsidRPr="004311E5">
        <w:rPr>
          <w:rFonts w:ascii="Times New Roman" w:eastAsia="Times New Roman" w:hAnsi="Times New Roman"/>
          <w:sz w:val="20"/>
          <w:szCs w:val="20"/>
        </w:rPr>
        <w:t xml:space="preserve"> is able to enter into between smaller fractures completely so that it can more optimally</w:t>
      </w:r>
      <w:r w:rsidR="004311E5">
        <w:rPr>
          <w:rFonts w:ascii="Times New Roman" w:eastAsia="Times New Roman" w:hAnsi="Times New Roman"/>
          <w:sz w:val="20"/>
          <w:szCs w:val="20"/>
        </w:rPr>
        <w:t xml:space="preserve"> propped</w:t>
      </w:r>
      <w:r w:rsidR="004311E5" w:rsidRPr="004311E5">
        <w:rPr>
          <w:rFonts w:ascii="Times New Roman" w:eastAsia="Times New Roman" w:hAnsi="Times New Roman"/>
          <w:sz w:val="20"/>
          <w:szCs w:val="20"/>
        </w:rPr>
        <w:t xml:space="preserve"> </w:t>
      </w:r>
      <w:r w:rsidR="004311E5">
        <w:rPr>
          <w:rFonts w:ascii="Times New Roman" w:eastAsia="Times New Roman" w:hAnsi="Times New Roman"/>
          <w:sz w:val="20"/>
          <w:szCs w:val="20"/>
        </w:rPr>
        <w:t>at post-fracturing</w:t>
      </w:r>
      <w:r w:rsidR="004311E5" w:rsidRPr="004311E5">
        <w:rPr>
          <w:rFonts w:ascii="Times New Roman" w:eastAsia="Times New Roman" w:hAnsi="Times New Roman"/>
          <w:sz w:val="20"/>
          <w:szCs w:val="20"/>
        </w:rPr>
        <w:t>.</w:t>
      </w:r>
    </w:p>
    <w:p w:rsidR="004311E5" w:rsidRDefault="004311E5" w:rsidP="004311E5">
      <w:pPr>
        <w:spacing w:after="120" w:line="240" w:lineRule="auto"/>
        <w:jc w:val="both"/>
        <w:rPr>
          <w:rFonts w:ascii="Times New Roman" w:eastAsia="Times New Roman" w:hAnsi="Times New Roman"/>
          <w:sz w:val="20"/>
          <w:szCs w:val="20"/>
        </w:rPr>
      </w:pPr>
      <w:r w:rsidRPr="004311E5">
        <w:rPr>
          <w:rFonts w:ascii="Times New Roman" w:eastAsia="Times New Roman" w:hAnsi="Times New Roman"/>
          <w:sz w:val="20"/>
          <w:szCs w:val="20"/>
        </w:rPr>
        <w:t xml:space="preserve">The importance of choosing the fracturing material treatment is the focus in this study, so that it requires a sensitivity analysis on a combination of various types of fracturing fluid and </w:t>
      </w:r>
      <w:proofErr w:type="spellStart"/>
      <w:r w:rsidRPr="004311E5">
        <w:rPr>
          <w:rFonts w:ascii="Times New Roman" w:eastAsia="Times New Roman" w:hAnsi="Times New Roman"/>
          <w:sz w:val="20"/>
          <w:szCs w:val="20"/>
        </w:rPr>
        <w:t>proppant</w:t>
      </w:r>
      <w:proofErr w:type="spellEnd"/>
      <w:r w:rsidRPr="004311E5">
        <w:rPr>
          <w:rFonts w:ascii="Times New Roman" w:eastAsia="Times New Roman" w:hAnsi="Times New Roman"/>
          <w:sz w:val="20"/>
          <w:szCs w:val="20"/>
        </w:rPr>
        <w:t xml:space="preserve"> to be sensitive in order to choose which combination has the largest FOI </w:t>
      </w:r>
      <w:r>
        <w:rPr>
          <w:rFonts w:ascii="Times New Roman" w:eastAsia="Times New Roman" w:hAnsi="Times New Roman"/>
          <w:sz w:val="20"/>
          <w:szCs w:val="20"/>
        </w:rPr>
        <w:t>value</w:t>
      </w:r>
      <w:r w:rsidRPr="004311E5">
        <w:rPr>
          <w:rFonts w:ascii="Times New Roman" w:eastAsia="Times New Roman" w:hAnsi="Times New Roman"/>
          <w:sz w:val="20"/>
          <w:szCs w:val="20"/>
        </w:rPr>
        <w:t xml:space="preserve">. Then the results are selected the combination that has the highest FOI value to be used as a reference in designing fracturing materials in the same hydraulic fracturing reservoir planning and / or with different reservoirs but having the same characteristics. So that the results of the sensitivity analysis data from the selection of the fracture and </w:t>
      </w:r>
      <w:proofErr w:type="spellStart"/>
      <w:r w:rsidRPr="004311E5">
        <w:rPr>
          <w:rFonts w:ascii="Times New Roman" w:eastAsia="Times New Roman" w:hAnsi="Times New Roman"/>
          <w:sz w:val="20"/>
          <w:szCs w:val="20"/>
        </w:rPr>
        <w:t>proppant</w:t>
      </w:r>
      <w:proofErr w:type="spellEnd"/>
      <w:r w:rsidRPr="004311E5">
        <w:rPr>
          <w:rFonts w:ascii="Times New Roman" w:eastAsia="Times New Roman" w:hAnsi="Times New Roman"/>
          <w:sz w:val="20"/>
          <w:szCs w:val="20"/>
        </w:rPr>
        <w:t xml:space="preserve"> fluid combination become a reference for planning the next hydraulic fracturing stimulation activity.</w:t>
      </w:r>
    </w:p>
    <w:p w:rsidR="00FA3FCA" w:rsidRDefault="00FA3FCA" w:rsidP="00C035B0">
      <w:pPr>
        <w:pStyle w:val="NoSpacing"/>
        <w:spacing w:after="120"/>
        <w:ind w:left="567" w:hanging="567"/>
        <w:rPr>
          <w:rFonts w:ascii="Times New Roman" w:hAnsi="Times New Roman"/>
          <w:b/>
          <w:sz w:val="20"/>
          <w:szCs w:val="20"/>
        </w:rPr>
      </w:pPr>
    </w:p>
    <w:p w:rsidR="002A6E66" w:rsidRPr="00A04A9E" w:rsidRDefault="002A6E66" w:rsidP="00C035B0">
      <w:pPr>
        <w:pStyle w:val="NoSpacing"/>
        <w:spacing w:after="120"/>
        <w:ind w:left="567" w:hanging="567"/>
        <w:rPr>
          <w:rFonts w:ascii="Times New Roman" w:hAnsi="Times New Roman"/>
          <w:b/>
          <w:sz w:val="20"/>
          <w:szCs w:val="20"/>
          <w:lang w:val="id-ID"/>
        </w:rPr>
      </w:pPr>
      <w:r w:rsidRPr="00A04A9E">
        <w:rPr>
          <w:rFonts w:ascii="Times New Roman" w:hAnsi="Times New Roman"/>
          <w:b/>
          <w:sz w:val="20"/>
          <w:szCs w:val="20"/>
        </w:rPr>
        <w:t>II.</w:t>
      </w:r>
      <w:r w:rsidRPr="00A04A9E">
        <w:rPr>
          <w:rFonts w:ascii="Times New Roman" w:hAnsi="Times New Roman"/>
          <w:b/>
          <w:sz w:val="20"/>
          <w:szCs w:val="20"/>
        </w:rPr>
        <w:tab/>
      </w:r>
      <w:r w:rsidR="0018484B">
        <w:rPr>
          <w:rFonts w:ascii="Times New Roman" w:hAnsi="Times New Roman"/>
          <w:b/>
          <w:sz w:val="20"/>
          <w:szCs w:val="20"/>
        </w:rPr>
        <w:t>METHODS</w:t>
      </w:r>
    </w:p>
    <w:p w:rsidR="007255F5" w:rsidRDefault="007255F5" w:rsidP="007255F5">
      <w:pPr>
        <w:rPr>
          <w:rFonts w:ascii="Times New Roman" w:hAnsi="Times New Roman"/>
          <w:sz w:val="20"/>
          <w:szCs w:val="20"/>
        </w:rPr>
      </w:pPr>
      <w:r w:rsidRPr="007255F5">
        <w:rPr>
          <w:rFonts w:ascii="Times New Roman" w:hAnsi="Times New Roman"/>
          <w:sz w:val="20"/>
          <w:szCs w:val="20"/>
        </w:rPr>
        <w:t xml:space="preserve">The design of hydraulic fracturing at the Well TX-01 </w:t>
      </w:r>
      <w:proofErr w:type="gramStart"/>
      <w:r>
        <w:rPr>
          <w:rFonts w:ascii="Times New Roman" w:hAnsi="Times New Roman"/>
          <w:sz w:val="20"/>
          <w:szCs w:val="20"/>
        </w:rPr>
        <w:t xml:space="preserve">of  </w:t>
      </w:r>
      <w:r w:rsidRPr="007255F5">
        <w:rPr>
          <w:rFonts w:ascii="Times New Roman" w:hAnsi="Times New Roman"/>
          <w:sz w:val="20"/>
          <w:szCs w:val="20"/>
        </w:rPr>
        <w:t>"</w:t>
      </w:r>
      <w:proofErr w:type="gramEnd"/>
      <w:r w:rsidRPr="007255F5">
        <w:rPr>
          <w:rFonts w:ascii="Times New Roman" w:hAnsi="Times New Roman"/>
          <w:sz w:val="20"/>
          <w:szCs w:val="20"/>
        </w:rPr>
        <w:t xml:space="preserve">DHC" field was carried out using </w:t>
      </w:r>
      <w:proofErr w:type="spellStart"/>
      <w:r w:rsidRPr="007255F5">
        <w:rPr>
          <w:rFonts w:ascii="Times New Roman" w:hAnsi="Times New Roman"/>
          <w:sz w:val="20"/>
          <w:szCs w:val="20"/>
        </w:rPr>
        <w:t>FracCADE</w:t>
      </w:r>
      <w:proofErr w:type="spellEnd"/>
      <w:r w:rsidRPr="007255F5">
        <w:rPr>
          <w:rFonts w:ascii="Times New Roman" w:hAnsi="Times New Roman"/>
          <w:sz w:val="20"/>
          <w:szCs w:val="20"/>
        </w:rPr>
        <w:t xml:space="preserve"> software. The design planning uses the PKN 2D method with the data as shown in Table 1 to Table 6.</w:t>
      </w:r>
    </w:p>
    <w:p w:rsidR="007255F5" w:rsidRPr="007255F5" w:rsidRDefault="007255F5" w:rsidP="007255F5">
      <w:pPr>
        <w:rPr>
          <w:rFonts w:ascii="Times New Roman" w:hAnsi="Times New Roman"/>
          <w:sz w:val="20"/>
          <w:szCs w:val="20"/>
        </w:rPr>
      </w:pPr>
    </w:p>
    <w:p w:rsidR="007255F5" w:rsidRPr="007255F5" w:rsidRDefault="007255F5" w:rsidP="00C32A56">
      <w:pPr>
        <w:spacing w:after="0" w:line="360" w:lineRule="auto"/>
        <w:jc w:val="center"/>
        <w:rPr>
          <w:rFonts w:ascii="Times New Roman" w:hAnsi="Times New Roman"/>
          <w:b/>
          <w:bCs/>
          <w:sz w:val="20"/>
          <w:szCs w:val="20"/>
        </w:rPr>
      </w:pPr>
      <w:r w:rsidRPr="007255F5">
        <w:rPr>
          <w:rFonts w:ascii="Times New Roman" w:hAnsi="Times New Roman"/>
          <w:b/>
          <w:bCs/>
          <w:sz w:val="20"/>
          <w:szCs w:val="20"/>
        </w:rPr>
        <w:lastRenderedPageBreak/>
        <w:t>Table 1.</w:t>
      </w:r>
      <w:r w:rsidR="00C32A56">
        <w:rPr>
          <w:rFonts w:ascii="Times New Roman" w:hAnsi="Times New Roman"/>
          <w:b/>
          <w:bCs/>
          <w:sz w:val="20"/>
          <w:szCs w:val="20"/>
          <w:lang w:val="id-ID"/>
        </w:rPr>
        <w:t xml:space="preserve"> </w:t>
      </w:r>
      <w:r w:rsidRPr="007255F5">
        <w:rPr>
          <w:rFonts w:ascii="Times New Roman" w:hAnsi="Times New Roman"/>
          <w:b/>
          <w:bCs/>
          <w:sz w:val="20"/>
          <w:szCs w:val="20"/>
        </w:rPr>
        <w:t>Reservoir Data of Well TX-01</w:t>
      </w:r>
    </w:p>
    <w:tbl>
      <w:tblPr>
        <w:tblStyle w:val="TableGrid"/>
        <w:tblW w:w="0" w:type="auto"/>
        <w:jc w:val="center"/>
        <w:tblLook w:val="04A0" w:firstRow="1" w:lastRow="0" w:firstColumn="1" w:lastColumn="0" w:noHBand="0" w:noVBand="1"/>
      </w:tblPr>
      <w:tblGrid>
        <w:gridCol w:w="1951"/>
        <w:gridCol w:w="1216"/>
        <w:gridCol w:w="1584"/>
      </w:tblGrid>
      <w:tr w:rsidR="007255F5" w:rsidRPr="007255F5" w:rsidTr="001C47B7">
        <w:trPr>
          <w:jc w:val="center"/>
        </w:trPr>
        <w:tc>
          <w:tcPr>
            <w:tcW w:w="1951" w:type="dxa"/>
            <w:vAlign w:val="center"/>
          </w:tcPr>
          <w:p w:rsidR="007255F5" w:rsidRPr="007255F5" w:rsidRDefault="007255F5" w:rsidP="00390417">
            <w:pPr>
              <w:spacing w:after="0" w:line="24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 xml:space="preserve">Reservoir Data </w:t>
            </w:r>
          </w:p>
        </w:tc>
        <w:tc>
          <w:tcPr>
            <w:tcW w:w="1216" w:type="dxa"/>
            <w:vAlign w:val="center"/>
          </w:tcPr>
          <w:p w:rsidR="007255F5" w:rsidRPr="007255F5" w:rsidRDefault="007255F5" w:rsidP="00390417">
            <w:pPr>
              <w:spacing w:after="0" w:line="24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Value</w:t>
            </w:r>
          </w:p>
        </w:tc>
        <w:tc>
          <w:tcPr>
            <w:tcW w:w="1584" w:type="dxa"/>
            <w:vAlign w:val="center"/>
          </w:tcPr>
          <w:p w:rsidR="007255F5" w:rsidRPr="007255F5" w:rsidRDefault="007255F5" w:rsidP="00390417">
            <w:pPr>
              <w:spacing w:after="0" w:line="24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Unit</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Total Depth</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1997.5</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m MD</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Formation Thickness</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6</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Meter</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Porosity</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0.28</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Fraction</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Permeability</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12.4</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mD</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Reservoir Pressure</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1566</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Psia</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Fracture Gradient</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0.53</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Psi/ft</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Pore Gradient</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0.2979</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Psi/ft</w:t>
            </w:r>
          </w:p>
        </w:tc>
      </w:tr>
      <w:tr w:rsidR="007255F5" w:rsidRPr="007255F5" w:rsidTr="001C47B7">
        <w:trPr>
          <w:jc w:val="center"/>
        </w:trPr>
        <w:tc>
          <w:tcPr>
            <w:tcW w:w="1951"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Temperature</w:t>
            </w:r>
          </w:p>
        </w:tc>
        <w:tc>
          <w:tcPr>
            <w:tcW w:w="1216"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245</w:t>
            </w:r>
          </w:p>
        </w:tc>
        <w:tc>
          <w:tcPr>
            <w:tcW w:w="1584" w:type="dxa"/>
          </w:tcPr>
          <w:p w:rsidR="007255F5" w:rsidRPr="007255F5" w:rsidRDefault="007255F5" w:rsidP="00390417">
            <w:pPr>
              <w:spacing w:after="0" w:line="240" w:lineRule="auto"/>
              <w:jc w:val="center"/>
              <w:rPr>
                <w:rFonts w:ascii="Times New Roman" w:hAnsi="Times New Roman" w:cs="Times New Roman"/>
                <w:b/>
                <w:sz w:val="20"/>
                <w:szCs w:val="20"/>
              </w:rPr>
            </w:pPr>
            <w:r w:rsidRPr="007255F5">
              <w:rPr>
                <w:rFonts w:ascii="Times New Roman" w:hAnsi="Times New Roman" w:cs="Times New Roman"/>
                <w:sz w:val="20"/>
                <w:szCs w:val="20"/>
              </w:rPr>
              <w:t>Deg F</w:t>
            </w:r>
          </w:p>
        </w:tc>
      </w:tr>
    </w:tbl>
    <w:p w:rsidR="007255F5" w:rsidRPr="007255F5" w:rsidRDefault="007255F5" w:rsidP="00390417">
      <w:pPr>
        <w:spacing w:after="0" w:line="240" w:lineRule="auto"/>
        <w:jc w:val="center"/>
        <w:rPr>
          <w:rFonts w:ascii="Times New Roman" w:hAnsi="Times New Roman"/>
          <w:b/>
          <w:sz w:val="20"/>
          <w:szCs w:val="20"/>
        </w:rPr>
      </w:pPr>
    </w:p>
    <w:p w:rsidR="007255F5" w:rsidRPr="007255F5" w:rsidRDefault="007255F5" w:rsidP="00C32A56">
      <w:pPr>
        <w:spacing w:after="0" w:line="360" w:lineRule="auto"/>
        <w:jc w:val="center"/>
        <w:rPr>
          <w:rFonts w:ascii="Times New Roman" w:hAnsi="Times New Roman"/>
          <w:b/>
          <w:bCs/>
          <w:sz w:val="20"/>
          <w:szCs w:val="20"/>
        </w:rPr>
      </w:pPr>
      <w:r w:rsidRPr="007255F5">
        <w:rPr>
          <w:rFonts w:ascii="Times New Roman" w:hAnsi="Times New Roman"/>
          <w:b/>
          <w:bCs/>
          <w:sz w:val="20"/>
          <w:szCs w:val="20"/>
        </w:rPr>
        <w:t>Table 2.</w:t>
      </w:r>
      <w:r w:rsidR="00C32A56">
        <w:rPr>
          <w:rFonts w:ascii="Times New Roman" w:hAnsi="Times New Roman"/>
          <w:b/>
          <w:bCs/>
          <w:sz w:val="20"/>
          <w:szCs w:val="20"/>
          <w:lang w:val="id-ID"/>
        </w:rPr>
        <w:t xml:space="preserve"> </w:t>
      </w:r>
      <w:r w:rsidRPr="007255F5">
        <w:rPr>
          <w:rFonts w:ascii="Times New Roman" w:hAnsi="Times New Roman"/>
          <w:b/>
          <w:bCs/>
          <w:sz w:val="20"/>
          <w:szCs w:val="20"/>
        </w:rPr>
        <w:t>Rock Mechanics Data of Well TX-01</w:t>
      </w:r>
    </w:p>
    <w:tbl>
      <w:tblPr>
        <w:tblStyle w:val="TableGrid"/>
        <w:tblW w:w="6292" w:type="dxa"/>
        <w:jc w:val="center"/>
        <w:tblLook w:val="04A0" w:firstRow="1" w:lastRow="0" w:firstColumn="1" w:lastColumn="0" w:noHBand="0" w:noVBand="1"/>
      </w:tblPr>
      <w:tblGrid>
        <w:gridCol w:w="1040"/>
        <w:gridCol w:w="1256"/>
        <w:gridCol w:w="1005"/>
        <w:gridCol w:w="1221"/>
        <w:gridCol w:w="1770"/>
      </w:tblGrid>
      <w:tr w:rsidR="007255F5" w:rsidRPr="007255F5" w:rsidTr="006B3FAA">
        <w:trPr>
          <w:jc w:val="center"/>
        </w:trPr>
        <w:tc>
          <w:tcPr>
            <w:tcW w:w="1040" w:type="dxa"/>
            <w:vAlign w:val="center"/>
          </w:tcPr>
          <w:p w:rsidR="007255F5" w:rsidRPr="007255F5" w:rsidRDefault="007255F5" w:rsidP="00390417">
            <w:pPr>
              <w:spacing w:after="0" w:line="36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Lithology</w:t>
            </w:r>
          </w:p>
        </w:tc>
        <w:tc>
          <w:tcPr>
            <w:tcW w:w="1256" w:type="dxa"/>
          </w:tcPr>
          <w:p w:rsidR="007255F5" w:rsidRPr="007255F5" w:rsidRDefault="007255F5" w:rsidP="00390417">
            <w:pPr>
              <w:spacing w:after="0" w:line="36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Bottom TVD (m)</w:t>
            </w:r>
          </w:p>
        </w:tc>
        <w:tc>
          <w:tcPr>
            <w:tcW w:w="1005" w:type="dxa"/>
          </w:tcPr>
          <w:p w:rsidR="007255F5" w:rsidRPr="007255F5" w:rsidRDefault="007255F5" w:rsidP="00390417">
            <w:pPr>
              <w:spacing w:after="0" w:line="36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Bottom MD (m)</w:t>
            </w:r>
          </w:p>
        </w:tc>
        <w:tc>
          <w:tcPr>
            <w:tcW w:w="1221" w:type="dxa"/>
          </w:tcPr>
          <w:p w:rsidR="007255F5" w:rsidRPr="007255F5" w:rsidRDefault="007255F5" w:rsidP="00390417">
            <w:pPr>
              <w:spacing w:after="0" w:line="36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Modulus Young (psi)</w:t>
            </w:r>
          </w:p>
        </w:tc>
        <w:tc>
          <w:tcPr>
            <w:tcW w:w="1770" w:type="dxa"/>
          </w:tcPr>
          <w:p w:rsidR="007255F5" w:rsidRPr="007255F5" w:rsidRDefault="007255F5" w:rsidP="00390417">
            <w:pPr>
              <w:spacing w:after="0" w:line="360" w:lineRule="auto"/>
              <w:jc w:val="center"/>
              <w:rPr>
                <w:rFonts w:ascii="Times New Roman" w:hAnsi="Times New Roman" w:cs="Times New Roman"/>
                <w:b/>
                <w:bCs/>
                <w:sz w:val="20"/>
                <w:szCs w:val="20"/>
              </w:rPr>
            </w:pPr>
            <w:r w:rsidRPr="007255F5">
              <w:rPr>
                <w:rFonts w:ascii="Times New Roman" w:hAnsi="Times New Roman" w:cs="Times New Roman"/>
                <w:b/>
                <w:bCs/>
                <w:sz w:val="20"/>
                <w:szCs w:val="20"/>
              </w:rPr>
              <w:t>Poisson Ratio</w:t>
            </w:r>
          </w:p>
        </w:tc>
      </w:tr>
      <w:tr w:rsidR="007255F5" w:rsidRPr="007255F5" w:rsidTr="006B3FAA">
        <w:trPr>
          <w:jc w:val="center"/>
        </w:trPr>
        <w:tc>
          <w:tcPr>
            <w:tcW w:w="1040" w:type="dxa"/>
          </w:tcPr>
          <w:p w:rsidR="007255F5" w:rsidRPr="007255F5" w:rsidRDefault="007255F5" w:rsidP="00390417">
            <w:pPr>
              <w:spacing w:after="0" w:line="360" w:lineRule="auto"/>
              <w:jc w:val="center"/>
              <w:rPr>
                <w:rFonts w:ascii="Times New Roman" w:hAnsi="Times New Roman" w:cs="Times New Roman"/>
                <w:sz w:val="20"/>
                <w:szCs w:val="20"/>
              </w:rPr>
            </w:pPr>
            <w:r w:rsidRPr="007255F5">
              <w:rPr>
                <w:rFonts w:ascii="Times New Roman" w:hAnsi="Times New Roman" w:cs="Times New Roman"/>
                <w:sz w:val="20"/>
                <w:szCs w:val="20"/>
              </w:rPr>
              <w:t>Shale</w:t>
            </w:r>
          </w:p>
        </w:tc>
        <w:tc>
          <w:tcPr>
            <w:tcW w:w="1256"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1603</w:t>
            </w:r>
          </w:p>
        </w:tc>
        <w:tc>
          <w:tcPr>
            <w:tcW w:w="1005"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1675</w:t>
            </w:r>
          </w:p>
        </w:tc>
        <w:tc>
          <w:tcPr>
            <w:tcW w:w="1221"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5,6456e+05</w:t>
            </w:r>
          </w:p>
        </w:tc>
        <w:tc>
          <w:tcPr>
            <w:tcW w:w="1770" w:type="dxa"/>
            <w:vAlign w:val="center"/>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0.2</w:t>
            </w:r>
          </w:p>
        </w:tc>
      </w:tr>
      <w:tr w:rsidR="007255F5" w:rsidRPr="007255F5" w:rsidTr="006B3FAA">
        <w:trPr>
          <w:jc w:val="center"/>
        </w:trPr>
        <w:tc>
          <w:tcPr>
            <w:tcW w:w="1040" w:type="dxa"/>
          </w:tcPr>
          <w:p w:rsidR="007255F5" w:rsidRPr="007255F5" w:rsidRDefault="007255F5" w:rsidP="00390417">
            <w:pPr>
              <w:spacing w:after="0" w:line="360" w:lineRule="auto"/>
              <w:jc w:val="center"/>
              <w:rPr>
                <w:rFonts w:ascii="Times New Roman" w:hAnsi="Times New Roman" w:cs="Times New Roman"/>
                <w:sz w:val="20"/>
                <w:szCs w:val="20"/>
              </w:rPr>
            </w:pPr>
            <w:r w:rsidRPr="007255F5">
              <w:rPr>
                <w:rFonts w:ascii="Times New Roman" w:hAnsi="Times New Roman" w:cs="Times New Roman"/>
                <w:sz w:val="20"/>
                <w:szCs w:val="20"/>
              </w:rPr>
              <w:t>Sandstone</w:t>
            </w:r>
          </w:p>
        </w:tc>
        <w:tc>
          <w:tcPr>
            <w:tcW w:w="1256"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1607,8</w:t>
            </w:r>
          </w:p>
        </w:tc>
        <w:tc>
          <w:tcPr>
            <w:tcW w:w="1005"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1680</w:t>
            </w:r>
          </w:p>
        </w:tc>
        <w:tc>
          <w:tcPr>
            <w:tcW w:w="1221"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5,5643e+05</w:t>
            </w:r>
          </w:p>
        </w:tc>
        <w:tc>
          <w:tcPr>
            <w:tcW w:w="1770" w:type="dxa"/>
            <w:vAlign w:val="center"/>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0.2</w:t>
            </w:r>
          </w:p>
        </w:tc>
      </w:tr>
      <w:tr w:rsidR="007255F5" w:rsidRPr="007255F5" w:rsidTr="006B3FAA">
        <w:trPr>
          <w:jc w:val="center"/>
        </w:trPr>
        <w:tc>
          <w:tcPr>
            <w:tcW w:w="1040" w:type="dxa"/>
          </w:tcPr>
          <w:p w:rsidR="007255F5" w:rsidRPr="007255F5" w:rsidRDefault="007255F5" w:rsidP="00390417">
            <w:pPr>
              <w:spacing w:after="0" w:line="360" w:lineRule="auto"/>
              <w:jc w:val="center"/>
              <w:rPr>
                <w:rFonts w:ascii="Times New Roman" w:hAnsi="Times New Roman" w:cs="Times New Roman"/>
                <w:sz w:val="20"/>
                <w:szCs w:val="20"/>
              </w:rPr>
            </w:pPr>
            <w:r w:rsidRPr="007255F5">
              <w:rPr>
                <w:rFonts w:ascii="Times New Roman" w:hAnsi="Times New Roman" w:cs="Times New Roman"/>
                <w:sz w:val="20"/>
                <w:szCs w:val="20"/>
              </w:rPr>
              <w:t>Shaly</w:t>
            </w:r>
          </w:p>
        </w:tc>
        <w:tc>
          <w:tcPr>
            <w:tcW w:w="1256"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1610,7</w:t>
            </w:r>
          </w:p>
        </w:tc>
        <w:tc>
          <w:tcPr>
            <w:tcW w:w="1005"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1683</w:t>
            </w:r>
          </w:p>
        </w:tc>
        <w:tc>
          <w:tcPr>
            <w:tcW w:w="1221"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7,5042e+05</w:t>
            </w:r>
          </w:p>
        </w:tc>
        <w:tc>
          <w:tcPr>
            <w:tcW w:w="1770" w:type="dxa"/>
            <w:vAlign w:val="center"/>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0.19</w:t>
            </w:r>
          </w:p>
        </w:tc>
      </w:tr>
      <w:tr w:rsidR="007255F5" w:rsidRPr="007255F5" w:rsidTr="006B3FAA">
        <w:trPr>
          <w:jc w:val="center"/>
        </w:trPr>
        <w:tc>
          <w:tcPr>
            <w:tcW w:w="1040" w:type="dxa"/>
          </w:tcPr>
          <w:p w:rsidR="007255F5" w:rsidRPr="007255F5" w:rsidRDefault="007255F5" w:rsidP="00390417">
            <w:pPr>
              <w:spacing w:after="0" w:line="360" w:lineRule="auto"/>
              <w:jc w:val="center"/>
              <w:rPr>
                <w:rFonts w:ascii="Times New Roman" w:hAnsi="Times New Roman" w:cs="Times New Roman"/>
                <w:sz w:val="20"/>
                <w:szCs w:val="20"/>
              </w:rPr>
            </w:pPr>
            <w:r w:rsidRPr="007255F5">
              <w:rPr>
                <w:rFonts w:ascii="Times New Roman" w:hAnsi="Times New Roman" w:cs="Times New Roman"/>
                <w:sz w:val="20"/>
                <w:szCs w:val="20"/>
              </w:rPr>
              <w:t>Sandstone</w:t>
            </w:r>
          </w:p>
        </w:tc>
        <w:tc>
          <w:tcPr>
            <w:tcW w:w="1256"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1611,7</w:t>
            </w:r>
          </w:p>
        </w:tc>
        <w:tc>
          <w:tcPr>
            <w:tcW w:w="1005"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1684</w:t>
            </w:r>
          </w:p>
        </w:tc>
        <w:tc>
          <w:tcPr>
            <w:tcW w:w="1221"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6,0676e+05</w:t>
            </w:r>
          </w:p>
        </w:tc>
        <w:tc>
          <w:tcPr>
            <w:tcW w:w="1770" w:type="dxa"/>
            <w:vAlign w:val="center"/>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0.19</w:t>
            </w:r>
          </w:p>
        </w:tc>
      </w:tr>
      <w:tr w:rsidR="007255F5" w:rsidRPr="007255F5" w:rsidTr="006B3FAA">
        <w:trPr>
          <w:jc w:val="center"/>
        </w:trPr>
        <w:tc>
          <w:tcPr>
            <w:tcW w:w="1040" w:type="dxa"/>
          </w:tcPr>
          <w:p w:rsidR="007255F5" w:rsidRPr="007255F5" w:rsidRDefault="007255F5" w:rsidP="00390417">
            <w:pPr>
              <w:spacing w:after="0" w:line="360" w:lineRule="auto"/>
              <w:jc w:val="center"/>
              <w:rPr>
                <w:rFonts w:ascii="Times New Roman" w:hAnsi="Times New Roman" w:cs="Times New Roman"/>
                <w:sz w:val="20"/>
                <w:szCs w:val="20"/>
              </w:rPr>
            </w:pPr>
            <w:r w:rsidRPr="007255F5">
              <w:rPr>
                <w:rFonts w:ascii="Times New Roman" w:hAnsi="Times New Roman" w:cs="Times New Roman"/>
                <w:sz w:val="20"/>
                <w:szCs w:val="20"/>
              </w:rPr>
              <w:t>Shale</w:t>
            </w:r>
          </w:p>
        </w:tc>
        <w:tc>
          <w:tcPr>
            <w:tcW w:w="1256"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1619,3</w:t>
            </w:r>
          </w:p>
        </w:tc>
        <w:tc>
          <w:tcPr>
            <w:tcW w:w="1005"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1692</w:t>
            </w:r>
          </w:p>
        </w:tc>
        <w:tc>
          <w:tcPr>
            <w:tcW w:w="1221" w:type="dxa"/>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6,8275e+05</w:t>
            </w:r>
          </w:p>
        </w:tc>
        <w:tc>
          <w:tcPr>
            <w:tcW w:w="1770" w:type="dxa"/>
            <w:vAlign w:val="center"/>
          </w:tcPr>
          <w:p w:rsidR="007255F5" w:rsidRPr="007255F5" w:rsidRDefault="007255F5" w:rsidP="00390417">
            <w:pPr>
              <w:spacing w:after="0" w:line="360" w:lineRule="auto"/>
              <w:jc w:val="center"/>
              <w:rPr>
                <w:rFonts w:ascii="Times New Roman" w:hAnsi="Times New Roman" w:cs="Times New Roman"/>
                <w:b/>
                <w:sz w:val="20"/>
                <w:szCs w:val="20"/>
              </w:rPr>
            </w:pPr>
            <w:r w:rsidRPr="007255F5">
              <w:rPr>
                <w:rFonts w:ascii="Times New Roman" w:hAnsi="Times New Roman" w:cs="Times New Roman"/>
                <w:sz w:val="20"/>
                <w:szCs w:val="20"/>
              </w:rPr>
              <w:t>0.2</w:t>
            </w:r>
          </w:p>
        </w:tc>
      </w:tr>
    </w:tbl>
    <w:p w:rsidR="007255F5" w:rsidRPr="007255F5" w:rsidRDefault="007255F5" w:rsidP="00390417">
      <w:pPr>
        <w:spacing w:after="0" w:line="360" w:lineRule="auto"/>
        <w:jc w:val="center"/>
        <w:rPr>
          <w:rFonts w:ascii="Times New Roman" w:hAnsi="Times New Roman"/>
          <w:b/>
          <w:sz w:val="20"/>
          <w:szCs w:val="20"/>
        </w:rPr>
      </w:pPr>
    </w:p>
    <w:p w:rsidR="007255F5" w:rsidRPr="007255F5" w:rsidRDefault="007255F5" w:rsidP="00C32A56">
      <w:pPr>
        <w:spacing w:after="0" w:line="360" w:lineRule="auto"/>
        <w:jc w:val="center"/>
        <w:rPr>
          <w:rFonts w:ascii="Times New Roman" w:hAnsi="Times New Roman"/>
          <w:b/>
          <w:bCs/>
          <w:sz w:val="20"/>
          <w:szCs w:val="20"/>
        </w:rPr>
      </w:pPr>
      <w:r w:rsidRPr="007255F5">
        <w:rPr>
          <w:rFonts w:ascii="Times New Roman" w:hAnsi="Times New Roman"/>
          <w:b/>
          <w:bCs/>
          <w:sz w:val="20"/>
          <w:szCs w:val="20"/>
        </w:rPr>
        <w:t>Table 3.</w:t>
      </w:r>
      <w:r w:rsidR="00C32A56">
        <w:rPr>
          <w:rFonts w:ascii="Times New Roman" w:hAnsi="Times New Roman"/>
          <w:b/>
          <w:bCs/>
          <w:sz w:val="20"/>
          <w:szCs w:val="20"/>
          <w:lang w:val="id-ID"/>
        </w:rPr>
        <w:t xml:space="preserve"> </w:t>
      </w:r>
      <w:r w:rsidRPr="007255F5">
        <w:rPr>
          <w:rFonts w:ascii="Times New Roman" w:hAnsi="Times New Roman"/>
          <w:b/>
          <w:bCs/>
          <w:sz w:val="20"/>
          <w:szCs w:val="20"/>
        </w:rPr>
        <w:t>Well Completion Data of Well TX-01</w:t>
      </w:r>
    </w:p>
    <w:tbl>
      <w:tblPr>
        <w:tblStyle w:val="TableGrid"/>
        <w:tblW w:w="0" w:type="auto"/>
        <w:jc w:val="center"/>
        <w:tblLook w:val="04A0" w:firstRow="1" w:lastRow="0" w:firstColumn="1" w:lastColumn="0" w:noHBand="0" w:noVBand="1"/>
      </w:tblPr>
      <w:tblGrid>
        <w:gridCol w:w="3019"/>
        <w:gridCol w:w="1371"/>
        <w:gridCol w:w="1559"/>
      </w:tblGrid>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Parameters</w:t>
            </w:r>
          </w:p>
        </w:tc>
        <w:tc>
          <w:tcPr>
            <w:tcW w:w="1371"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Value</w:t>
            </w:r>
          </w:p>
        </w:tc>
        <w:tc>
          <w:tcPr>
            <w:tcW w:w="1559"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Unit</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Total Depth</w:t>
            </w:r>
          </w:p>
        </w:tc>
        <w:tc>
          <w:tcPr>
            <w:tcW w:w="1371"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1997.5</w:t>
            </w:r>
          </w:p>
        </w:tc>
        <w:tc>
          <w:tcPr>
            <w:tcW w:w="1559"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m MD</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PBTD (Plug Bottom Total Depth)</w:t>
            </w:r>
          </w:p>
        </w:tc>
        <w:tc>
          <w:tcPr>
            <w:tcW w:w="1371"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1817.5</w:t>
            </w:r>
          </w:p>
        </w:tc>
        <w:tc>
          <w:tcPr>
            <w:tcW w:w="1559"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m MD</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KOP (Kick Of Point)</w:t>
            </w:r>
          </w:p>
        </w:tc>
        <w:tc>
          <w:tcPr>
            <w:tcW w:w="1371"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140</w:t>
            </w:r>
          </w:p>
        </w:tc>
        <w:tc>
          <w:tcPr>
            <w:tcW w:w="1559" w:type="dxa"/>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m</w:t>
            </w:r>
          </w:p>
        </w:tc>
      </w:tr>
      <w:tr w:rsidR="007255F5" w:rsidRPr="007255F5" w:rsidTr="001C47B7">
        <w:trPr>
          <w:jc w:val="center"/>
        </w:trPr>
        <w:tc>
          <w:tcPr>
            <w:tcW w:w="5949" w:type="dxa"/>
            <w:gridSpan w:val="3"/>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Casing Depth</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Conductor</w:t>
            </w:r>
          </w:p>
        </w:tc>
        <w:tc>
          <w:tcPr>
            <w:tcW w:w="1371"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82.57</w:t>
            </w:r>
          </w:p>
        </w:tc>
        <w:tc>
          <w:tcPr>
            <w:tcW w:w="1559"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m MD</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Surface</w:t>
            </w:r>
          </w:p>
        </w:tc>
        <w:tc>
          <w:tcPr>
            <w:tcW w:w="1371"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705.6</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m MD</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Intermadiate</w:t>
            </w:r>
          </w:p>
        </w:tc>
        <w:tc>
          <w:tcPr>
            <w:tcW w:w="1371"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1545.27</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m MD</w:t>
            </w:r>
          </w:p>
        </w:tc>
      </w:tr>
      <w:tr w:rsidR="007255F5" w:rsidRPr="007255F5" w:rsidTr="001C47B7">
        <w:trPr>
          <w:jc w:val="center"/>
        </w:trPr>
        <w:tc>
          <w:tcPr>
            <w:tcW w:w="3019"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Production</w:t>
            </w:r>
          </w:p>
        </w:tc>
        <w:tc>
          <w:tcPr>
            <w:tcW w:w="1371"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1505.88-1972.41</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m MD</w:t>
            </w:r>
          </w:p>
        </w:tc>
      </w:tr>
      <w:tr w:rsidR="007255F5" w:rsidRPr="007255F5" w:rsidTr="001C47B7">
        <w:trPr>
          <w:jc w:val="center"/>
        </w:trPr>
        <w:tc>
          <w:tcPr>
            <w:tcW w:w="5949" w:type="dxa"/>
            <w:gridSpan w:val="3"/>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Completion</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ID of Poduction Casing</w:t>
            </w:r>
          </w:p>
        </w:tc>
        <w:tc>
          <w:tcPr>
            <w:tcW w:w="1371"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6.366</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Inch</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OD of Production Casing</w:t>
            </w:r>
          </w:p>
        </w:tc>
        <w:tc>
          <w:tcPr>
            <w:tcW w:w="1371"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7</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Inch</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Tubing 3 ½”</w:t>
            </w:r>
          </w:p>
        </w:tc>
        <w:tc>
          <w:tcPr>
            <w:tcW w:w="1371"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1667</w:t>
            </w:r>
          </w:p>
        </w:tc>
        <w:tc>
          <w:tcPr>
            <w:tcW w:w="1559" w:type="dxa"/>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sz w:val="20"/>
                <w:szCs w:val="20"/>
              </w:rPr>
              <w:t>mD</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Interval of Perforation</w:t>
            </w:r>
          </w:p>
        </w:tc>
        <w:tc>
          <w:tcPr>
            <w:tcW w:w="137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1675-1679</w:t>
            </w:r>
          </w:p>
        </w:tc>
        <w:tc>
          <w:tcPr>
            <w:tcW w:w="1559" w:type="dxa"/>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m MD</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Perforation Number</w:t>
            </w:r>
          </w:p>
        </w:tc>
        <w:tc>
          <w:tcPr>
            <w:tcW w:w="137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50</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Diameter of Perforation</w:t>
            </w:r>
          </w:p>
        </w:tc>
        <w:tc>
          <w:tcPr>
            <w:tcW w:w="137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0.36</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Inch</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Radius  (r</w:t>
            </w:r>
            <w:r w:rsidRPr="007255F5">
              <w:rPr>
                <w:rFonts w:ascii="Times New Roman" w:hAnsi="Times New Roman" w:cs="Times New Roman"/>
                <w:sz w:val="20"/>
                <w:szCs w:val="20"/>
                <w:vertAlign w:val="subscript"/>
              </w:rPr>
              <w:t>w</w:t>
            </w:r>
            <w:r w:rsidRPr="007255F5">
              <w:rPr>
                <w:rFonts w:ascii="Times New Roman" w:hAnsi="Times New Roman" w:cs="Times New Roman"/>
                <w:sz w:val="20"/>
                <w:szCs w:val="20"/>
              </w:rPr>
              <w:t>)</w:t>
            </w:r>
          </w:p>
        </w:tc>
        <w:tc>
          <w:tcPr>
            <w:tcW w:w="137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3.183</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Inch</w:t>
            </w:r>
          </w:p>
        </w:tc>
      </w:tr>
      <w:tr w:rsidR="007255F5" w:rsidRPr="007255F5" w:rsidTr="001C47B7">
        <w:trPr>
          <w:jc w:val="center"/>
        </w:trPr>
        <w:tc>
          <w:tcPr>
            <w:tcW w:w="301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Packer Setting Depth</w:t>
            </w:r>
          </w:p>
        </w:tc>
        <w:tc>
          <w:tcPr>
            <w:tcW w:w="137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1656</w:t>
            </w:r>
          </w:p>
        </w:tc>
        <w:tc>
          <w:tcPr>
            <w:tcW w:w="155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mD</w:t>
            </w:r>
          </w:p>
        </w:tc>
      </w:tr>
    </w:tbl>
    <w:p w:rsidR="007255F5" w:rsidRPr="007255F5" w:rsidRDefault="007255F5" w:rsidP="00390417">
      <w:pPr>
        <w:spacing w:after="0" w:line="240" w:lineRule="auto"/>
        <w:jc w:val="center"/>
        <w:rPr>
          <w:rFonts w:ascii="Times New Roman" w:hAnsi="Times New Roman"/>
          <w:sz w:val="20"/>
          <w:szCs w:val="20"/>
        </w:rPr>
      </w:pPr>
    </w:p>
    <w:p w:rsidR="007255F5" w:rsidRPr="007255F5" w:rsidRDefault="007255F5" w:rsidP="00390417">
      <w:pPr>
        <w:spacing w:after="0" w:line="240" w:lineRule="auto"/>
        <w:jc w:val="center"/>
        <w:rPr>
          <w:rFonts w:ascii="Times New Roman" w:hAnsi="Times New Roman"/>
          <w:b/>
          <w:sz w:val="20"/>
          <w:szCs w:val="20"/>
        </w:rPr>
      </w:pPr>
    </w:p>
    <w:p w:rsidR="007255F5" w:rsidRPr="007255F5" w:rsidRDefault="007255F5" w:rsidP="00C32A56">
      <w:pPr>
        <w:spacing w:after="0" w:line="360" w:lineRule="auto"/>
        <w:jc w:val="center"/>
        <w:rPr>
          <w:rFonts w:ascii="Times New Roman" w:hAnsi="Times New Roman"/>
          <w:b/>
          <w:bCs/>
          <w:sz w:val="20"/>
          <w:szCs w:val="20"/>
        </w:rPr>
      </w:pPr>
      <w:proofErr w:type="gramStart"/>
      <w:r w:rsidRPr="007255F5">
        <w:rPr>
          <w:rFonts w:ascii="Times New Roman" w:hAnsi="Times New Roman"/>
          <w:b/>
          <w:bCs/>
          <w:sz w:val="20"/>
          <w:szCs w:val="20"/>
        </w:rPr>
        <w:t>Table 4.</w:t>
      </w:r>
      <w:proofErr w:type="gramEnd"/>
      <w:r w:rsidR="00C32A56">
        <w:rPr>
          <w:rFonts w:ascii="Times New Roman" w:hAnsi="Times New Roman"/>
          <w:b/>
          <w:bCs/>
          <w:sz w:val="20"/>
          <w:szCs w:val="20"/>
          <w:lang w:val="id-ID"/>
        </w:rPr>
        <w:t xml:space="preserve"> </w:t>
      </w:r>
      <w:proofErr w:type="gramStart"/>
      <w:r w:rsidRPr="007255F5">
        <w:rPr>
          <w:rFonts w:ascii="Times New Roman" w:hAnsi="Times New Roman"/>
          <w:b/>
          <w:bCs/>
          <w:sz w:val="20"/>
          <w:szCs w:val="20"/>
        </w:rPr>
        <w:t>Hole</w:t>
      </w:r>
      <w:proofErr w:type="gramEnd"/>
      <w:r w:rsidRPr="007255F5">
        <w:rPr>
          <w:rFonts w:ascii="Times New Roman" w:hAnsi="Times New Roman"/>
          <w:b/>
          <w:bCs/>
          <w:sz w:val="20"/>
          <w:szCs w:val="20"/>
        </w:rPr>
        <w:t xml:space="preserve"> Geometry Data of Well TX-01</w:t>
      </w:r>
    </w:p>
    <w:tbl>
      <w:tblPr>
        <w:tblStyle w:val="TableGrid"/>
        <w:tblW w:w="0" w:type="auto"/>
        <w:jc w:val="center"/>
        <w:tblLook w:val="04A0" w:firstRow="1" w:lastRow="0" w:firstColumn="1" w:lastColumn="0" w:noHBand="0" w:noVBand="1"/>
      </w:tblPr>
      <w:tblGrid>
        <w:gridCol w:w="1560"/>
        <w:gridCol w:w="1276"/>
        <w:gridCol w:w="1949"/>
      </w:tblGrid>
      <w:tr w:rsidR="007255F5" w:rsidRPr="007255F5" w:rsidTr="001C47B7">
        <w:trPr>
          <w:jc w:val="center"/>
        </w:trPr>
        <w:tc>
          <w:tcPr>
            <w:tcW w:w="2836" w:type="dxa"/>
            <w:gridSpan w:val="2"/>
            <w:shd w:val="clear" w:color="auto" w:fill="auto"/>
            <w:vAlign w:val="center"/>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sz w:val="20"/>
                <w:szCs w:val="20"/>
              </w:rPr>
              <w:t>Depth</w:t>
            </w:r>
          </w:p>
        </w:tc>
        <w:tc>
          <w:tcPr>
            <w:tcW w:w="1949" w:type="dxa"/>
            <w:shd w:val="clear" w:color="auto" w:fill="auto"/>
            <w:vAlign w:val="center"/>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sz w:val="20"/>
                <w:szCs w:val="20"/>
              </w:rPr>
              <w:t>Angle</w:t>
            </w:r>
          </w:p>
        </w:tc>
      </w:tr>
      <w:tr w:rsidR="007255F5" w:rsidRPr="007255F5" w:rsidTr="001C47B7">
        <w:trPr>
          <w:jc w:val="center"/>
        </w:trPr>
        <w:tc>
          <w:tcPr>
            <w:tcW w:w="1560" w:type="dxa"/>
            <w:shd w:val="clear" w:color="auto" w:fill="auto"/>
            <w:vAlign w:val="center"/>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sz w:val="20"/>
                <w:szCs w:val="20"/>
              </w:rPr>
              <w:t>MD (m)</w:t>
            </w:r>
          </w:p>
        </w:tc>
        <w:tc>
          <w:tcPr>
            <w:tcW w:w="1276" w:type="dxa"/>
            <w:shd w:val="clear" w:color="auto" w:fill="auto"/>
            <w:vAlign w:val="center"/>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sz w:val="20"/>
                <w:szCs w:val="20"/>
              </w:rPr>
              <w:t>TVD (m)</w:t>
            </w:r>
          </w:p>
        </w:tc>
        <w:tc>
          <w:tcPr>
            <w:tcW w:w="1949" w:type="dxa"/>
            <w:shd w:val="clear" w:color="auto" w:fill="auto"/>
            <w:vAlign w:val="center"/>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sz w:val="20"/>
                <w:szCs w:val="20"/>
              </w:rPr>
              <w:t>(deg)</w:t>
            </w:r>
          </w:p>
        </w:tc>
      </w:tr>
      <w:tr w:rsidR="007255F5" w:rsidRPr="007255F5" w:rsidTr="001C47B7">
        <w:trPr>
          <w:jc w:val="center"/>
        </w:trPr>
        <w:tc>
          <w:tcPr>
            <w:tcW w:w="1560"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w:t>
            </w:r>
          </w:p>
        </w:tc>
        <w:tc>
          <w:tcPr>
            <w:tcW w:w="1276"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w:t>
            </w:r>
          </w:p>
        </w:tc>
        <w:tc>
          <w:tcPr>
            <w:tcW w:w="194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w:t>
            </w:r>
          </w:p>
        </w:tc>
      </w:tr>
      <w:tr w:rsidR="007255F5" w:rsidRPr="007255F5" w:rsidTr="001C47B7">
        <w:trPr>
          <w:jc w:val="center"/>
        </w:trPr>
        <w:tc>
          <w:tcPr>
            <w:tcW w:w="1560"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82.57</w:t>
            </w:r>
          </w:p>
        </w:tc>
        <w:tc>
          <w:tcPr>
            <w:tcW w:w="1276"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82.57</w:t>
            </w:r>
          </w:p>
        </w:tc>
        <w:tc>
          <w:tcPr>
            <w:tcW w:w="194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w:t>
            </w:r>
          </w:p>
        </w:tc>
      </w:tr>
      <w:tr w:rsidR="007255F5" w:rsidRPr="007255F5" w:rsidTr="001C47B7">
        <w:trPr>
          <w:jc w:val="center"/>
        </w:trPr>
        <w:tc>
          <w:tcPr>
            <w:tcW w:w="1560"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140</w:t>
            </w:r>
          </w:p>
        </w:tc>
        <w:tc>
          <w:tcPr>
            <w:tcW w:w="1276"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140</w:t>
            </w:r>
          </w:p>
        </w:tc>
        <w:tc>
          <w:tcPr>
            <w:tcW w:w="194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w:t>
            </w:r>
          </w:p>
        </w:tc>
      </w:tr>
      <w:tr w:rsidR="007255F5" w:rsidRPr="007255F5" w:rsidTr="001C47B7">
        <w:trPr>
          <w:jc w:val="center"/>
        </w:trPr>
        <w:tc>
          <w:tcPr>
            <w:tcW w:w="1560"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1603</w:t>
            </w:r>
          </w:p>
        </w:tc>
        <w:tc>
          <w:tcPr>
            <w:tcW w:w="1276"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1675</w:t>
            </w:r>
          </w:p>
        </w:tc>
        <w:tc>
          <w:tcPr>
            <w:tcW w:w="194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30.6</w:t>
            </w:r>
          </w:p>
        </w:tc>
      </w:tr>
      <w:tr w:rsidR="007255F5" w:rsidRPr="007255F5" w:rsidTr="001C47B7">
        <w:trPr>
          <w:jc w:val="center"/>
        </w:trPr>
        <w:tc>
          <w:tcPr>
            <w:tcW w:w="1560"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lastRenderedPageBreak/>
              <w:t>1679</w:t>
            </w:r>
          </w:p>
        </w:tc>
        <w:tc>
          <w:tcPr>
            <w:tcW w:w="1276"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1606.9</w:t>
            </w:r>
          </w:p>
        </w:tc>
        <w:tc>
          <w:tcPr>
            <w:tcW w:w="194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30.6</w:t>
            </w:r>
          </w:p>
        </w:tc>
      </w:tr>
      <w:tr w:rsidR="007255F5" w:rsidRPr="007255F5" w:rsidTr="001C47B7">
        <w:trPr>
          <w:jc w:val="center"/>
        </w:trPr>
        <w:tc>
          <w:tcPr>
            <w:tcW w:w="1560"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1995.6</w:t>
            </w:r>
          </w:p>
        </w:tc>
        <w:tc>
          <w:tcPr>
            <w:tcW w:w="1276"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1880.5</w:t>
            </w:r>
          </w:p>
        </w:tc>
        <w:tc>
          <w:tcPr>
            <w:tcW w:w="194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30.6</w:t>
            </w:r>
          </w:p>
        </w:tc>
      </w:tr>
    </w:tbl>
    <w:p w:rsidR="007255F5" w:rsidRPr="007255F5" w:rsidRDefault="007255F5" w:rsidP="00390417">
      <w:pPr>
        <w:spacing w:after="0" w:line="240" w:lineRule="auto"/>
        <w:jc w:val="center"/>
        <w:rPr>
          <w:rFonts w:ascii="Times New Roman" w:hAnsi="Times New Roman"/>
          <w:b/>
          <w:sz w:val="20"/>
          <w:szCs w:val="20"/>
        </w:rPr>
      </w:pPr>
    </w:p>
    <w:p w:rsidR="007255F5" w:rsidRPr="007255F5" w:rsidRDefault="007255F5" w:rsidP="00390417">
      <w:pPr>
        <w:spacing w:after="0" w:line="240" w:lineRule="auto"/>
        <w:jc w:val="both"/>
        <w:rPr>
          <w:rFonts w:ascii="Times New Roman" w:hAnsi="Times New Roman"/>
          <w:sz w:val="20"/>
          <w:szCs w:val="20"/>
        </w:rPr>
      </w:pPr>
      <w:r w:rsidRPr="007255F5">
        <w:rPr>
          <w:rFonts w:ascii="Times New Roman" w:hAnsi="Times New Roman"/>
          <w:sz w:val="20"/>
          <w:szCs w:val="20"/>
        </w:rPr>
        <w:t xml:space="preserve">The fracture fluid and </w:t>
      </w:r>
      <w:proofErr w:type="spellStart"/>
      <w:r w:rsidRPr="007255F5">
        <w:rPr>
          <w:rFonts w:ascii="Times New Roman" w:hAnsi="Times New Roman"/>
          <w:sz w:val="20"/>
          <w:szCs w:val="20"/>
        </w:rPr>
        <w:t>proppant</w:t>
      </w:r>
      <w:proofErr w:type="spellEnd"/>
      <w:r w:rsidRPr="007255F5">
        <w:rPr>
          <w:rFonts w:ascii="Times New Roman" w:hAnsi="Times New Roman"/>
          <w:sz w:val="20"/>
          <w:szCs w:val="20"/>
        </w:rPr>
        <w:t xml:space="preserve"> size selected for analysis of the effect on FOI were YF240OD and PrimeFRAC20 with a viscosity of 4.123 </w:t>
      </w:r>
      <w:proofErr w:type="spellStart"/>
      <w:r w:rsidRPr="007255F5">
        <w:rPr>
          <w:rFonts w:ascii="Times New Roman" w:hAnsi="Times New Roman"/>
          <w:sz w:val="20"/>
          <w:szCs w:val="20"/>
        </w:rPr>
        <w:t>cp</w:t>
      </w:r>
      <w:proofErr w:type="spellEnd"/>
      <w:r w:rsidRPr="007255F5">
        <w:rPr>
          <w:rFonts w:ascii="Times New Roman" w:hAnsi="Times New Roman"/>
          <w:sz w:val="20"/>
          <w:szCs w:val="20"/>
        </w:rPr>
        <w:t xml:space="preserve"> and 117.1 </w:t>
      </w:r>
      <w:proofErr w:type="spellStart"/>
      <w:r w:rsidRPr="007255F5">
        <w:rPr>
          <w:rFonts w:ascii="Times New Roman" w:hAnsi="Times New Roman"/>
          <w:sz w:val="20"/>
          <w:szCs w:val="20"/>
        </w:rPr>
        <w:t>cp</w:t>
      </w:r>
      <w:proofErr w:type="spellEnd"/>
      <w:r w:rsidRPr="007255F5">
        <w:rPr>
          <w:rFonts w:ascii="Times New Roman" w:hAnsi="Times New Roman"/>
          <w:sz w:val="20"/>
          <w:szCs w:val="20"/>
        </w:rPr>
        <w:t xml:space="preserve">, while for </w:t>
      </w:r>
      <w:proofErr w:type="spellStart"/>
      <w:r w:rsidRPr="007255F5">
        <w:rPr>
          <w:rFonts w:ascii="Times New Roman" w:hAnsi="Times New Roman"/>
          <w:sz w:val="20"/>
          <w:szCs w:val="20"/>
        </w:rPr>
        <w:t>proppant</w:t>
      </w:r>
      <w:proofErr w:type="spellEnd"/>
      <w:r w:rsidRPr="007255F5">
        <w:rPr>
          <w:rFonts w:ascii="Times New Roman" w:hAnsi="Times New Roman"/>
          <w:sz w:val="20"/>
          <w:szCs w:val="20"/>
        </w:rPr>
        <w:t xml:space="preserve">, a </w:t>
      </w:r>
      <w:proofErr w:type="spellStart"/>
      <w:r w:rsidRPr="007255F5">
        <w:rPr>
          <w:rFonts w:ascii="Times New Roman" w:hAnsi="Times New Roman"/>
          <w:sz w:val="20"/>
          <w:szCs w:val="20"/>
        </w:rPr>
        <w:t>Carbolite</w:t>
      </w:r>
      <w:proofErr w:type="spellEnd"/>
      <w:r w:rsidRPr="007255F5">
        <w:rPr>
          <w:rFonts w:ascii="Times New Roman" w:hAnsi="Times New Roman"/>
          <w:sz w:val="20"/>
          <w:szCs w:val="20"/>
        </w:rPr>
        <w:t xml:space="preserve"> type of ceramic </w:t>
      </w:r>
      <w:proofErr w:type="spellStart"/>
      <w:r w:rsidRPr="007255F5">
        <w:rPr>
          <w:rFonts w:ascii="Times New Roman" w:hAnsi="Times New Roman"/>
          <w:sz w:val="20"/>
          <w:szCs w:val="20"/>
        </w:rPr>
        <w:t>proppant</w:t>
      </w:r>
      <w:proofErr w:type="spellEnd"/>
      <w:r w:rsidRPr="007255F5">
        <w:rPr>
          <w:rFonts w:ascii="Times New Roman" w:hAnsi="Times New Roman"/>
          <w:sz w:val="20"/>
          <w:szCs w:val="20"/>
        </w:rPr>
        <w:t xml:space="preserve"> was selected with the </w:t>
      </w:r>
      <w:proofErr w:type="spellStart"/>
      <w:r w:rsidRPr="007255F5">
        <w:rPr>
          <w:rFonts w:ascii="Times New Roman" w:hAnsi="Times New Roman"/>
          <w:sz w:val="20"/>
          <w:szCs w:val="20"/>
        </w:rPr>
        <w:t>proppant</w:t>
      </w:r>
      <w:proofErr w:type="spellEnd"/>
      <w:r w:rsidRPr="007255F5">
        <w:rPr>
          <w:rFonts w:ascii="Times New Roman" w:hAnsi="Times New Roman"/>
          <w:sz w:val="20"/>
          <w:szCs w:val="20"/>
        </w:rPr>
        <w:t xml:space="preserve"> size sensitivity being 12/18, 16/20 , and the 20/40 mesh shown in Table 4.</w:t>
      </w:r>
    </w:p>
    <w:p w:rsidR="007255F5" w:rsidRPr="007255F5" w:rsidRDefault="007255F5" w:rsidP="00390417">
      <w:pPr>
        <w:spacing w:after="0" w:line="240" w:lineRule="auto"/>
        <w:jc w:val="center"/>
        <w:rPr>
          <w:rFonts w:ascii="Times New Roman" w:hAnsi="Times New Roman"/>
          <w:sz w:val="20"/>
          <w:szCs w:val="20"/>
        </w:rPr>
      </w:pPr>
    </w:p>
    <w:p w:rsidR="007255F5" w:rsidRPr="00C32A56" w:rsidRDefault="007255F5" w:rsidP="00C32A56">
      <w:pPr>
        <w:spacing w:after="0" w:line="360" w:lineRule="auto"/>
        <w:jc w:val="center"/>
        <w:rPr>
          <w:rFonts w:ascii="Times New Roman" w:hAnsi="Times New Roman"/>
          <w:b/>
          <w:bCs/>
          <w:sz w:val="20"/>
          <w:szCs w:val="20"/>
        </w:rPr>
      </w:pPr>
      <w:r w:rsidRPr="007255F5">
        <w:rPr>
          <w:rFonts w:ascii="Times New Roman" w:hAnsi="Times New Roman"/>
          <w:b/>
          <w:bCs/>
          <w:sz w:val="20"/>
          <w:szCs w:val="20"/>
        </w:rPr>
        <w:t>Table 5.</w:t>
      </w:r>
      <w:r w:rsidR="00C32A56">
        <w:rPr>
          <w:rFonts w:ascii="Times New Roman" w:hAnsi="Times New Roman"/>
          <w:b/>
          <w:bCs/>
          <w:sz w:val="20"/>
          <w:szCs w:val="20"/>
          <w:lang w:val="id-ID"/>
        </w:rPr>
        <w:t xml:space="preserve"> </w:t>
      </w:r>
      <w:r w:rsidRPr="007255F5">
        <w:rPr>
          <w:rFonts w:ascii="Times New Roman" w:hAnsi="Times New Roman"/>
          <w:b/>
          <w:bCs/>
          <w:sz w:val="20"/>
          <w:szCs w:val="20"/>
        </w:rPr>
        <w:t xml:space="preserve">Scenario of Fracture Fluid and </w:t>
      </w:r>
      <w:proofErr w:type="spellStart"/>
      <w:r w:rsidRPr="007255F5">
        <w:rPr>
          <w:rFonts w:ascii="Times New Roman" w:hAnsi="Times New Roman"/>
          <w:b/>
          <w:bCs/>
          <w:iCs/>
          <w:sz w:val="20"/>
          <w:szCs w:val="20"/>
        </w:rPr>
        <w:t>Proppant</w:t>
      </w:r>
      <w:proofErr w:type="spellEnd"/>
      <w:r w:rsidRPr="007255F5">
        <w:rPr>
          <w:rFonts w:ascii="Times New Roman" w:hAnsi="Times New Roman"/>
          <w:b/>
          <w:bCs/>
          <w:iCs/>
          <w:sz w:val="20"/>
          <w:szCs w:val="20"/>
        </w:rPr>
        <w:t xml:space="preserve"> Selections</w:t>
      </w:r>
    </w:p>
    <w:tbl>
      <w:tblPr>
        <w:tblStyle w:val="TableGrid"/>
        <w:tblW w:w="4786" w:type="dxa"/>
        <w:jc w:val="center"/>
        <w:tblLayout w:type="fixed"/>
        <w:tblLook w:val="04A0" w:firstRow="1" w:lastRow="0" w:firstColumn="1" w:lastColumn="0" w:noHBand="0" w:noVBand="1"/>
      </w:tblPr>
      <w:tblGrid>
        <w:gridCol w:w="1951"/>
        <w:gridCol w:w="2835"/>
      </w:tblGrid>
      <w:tr w:rsidR="007255F5" w:rsidRPr="007255F5" w:rsidTr="001C47B7">
        <w:trPr>
          <w:jc w:val="center"/>
        </w:trPr>
        <w:tc>
          <w:tcPr>
            <w:tcW w:w="1951" w:type="dxa"/>
            <w:shd w:val="clear" w:color="auto" w:fill="auto"/>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sz w:val="20"/>
                <w:szCs w:val="20"/>
              </w:rPr>
              <w:t>Fracture Fluid</w:t>
            </w:r>
          </w:p>
        </w:tc>
        <w:tc>
          <w:tcPr>
            <w:tcW w:w="2835" w:type="dxa"/>
            <w:shd w:val="clear" w:color="auto" w:fill="auto"/>
          </w:tcPr>
          <w:p w:rsidR="007255F5" w:rsidRPr="007255F5" w:rsidRDefault="007255F5" w:rsidP="00390417">
            <w:pPr>
              <w:spacing w:after="0"/>
              <w:jc w:val="center"/>
              <w:rPr>
                <w:rFonts w:ascii="Times New Roman" w:hAnsi="Times New Roman" w:cs="Times New Roman"/>
                <w:b/>
                <w:bCs/>
                <w:sz w:val="20"/>
                <w:szCs w:val="20"/>
              </w:rPr>
            </w:pPr>
            <w:r w:rsidRPr="007255F5">
              <w:rPr>
                <w:rFonts w:ascii="Times New Roman" w:hAnsi="Times New Roman" w:cs="Times New Roman"/>
                <w:b/>
                <w:bCs/>
                <w:iCs/>
                <w:sz w:val="20"/>
                <w:szCs w:val="20"/>
              </w:rPr>
              <w:t>Proppant Size</w:t>
            </w:r>
            <w:r w:rsidRPr="007255F5">
              <w:rPr>
                <w:rFonts w:ascii="Times New Roman" w:hAnsi="Times New Roman" w:cs="Times New Roman"/>
                <w:b/>
                <w:bCs/>
                <w:sz w:val="20"/>
                <w:szCs w:val="20"/>
              </w:rPr>
              <w:t xml:space="preserve">, </w:t>
            </w:r>
            <w:r w:rsidRPr="007255F5">
              <w:rPr>
                <w:rFonts w:ascii="Times New Roman" w:hAnsi="Times New Roman" w:cs="Times New Roman"/>
                <w:b/>
                <w:bCs/>
                <w:iCs/>
                <w:sz w:val="20"/>
                <w:szCs w:val="20"/>
              </w:rPr>
              <w:t>Mesh</w:t>
            </w:r>
          </w:p>
        </w:tc>
      </w:tr>
      <w:tr w:rsidR="007255F5" w:rsidRPr="007255F5" w:rsidTr="001C47B7">
        <w:trPr>
          <w:jc w:val="center"/>
        </w:trPr>
        <w:tc>
          <w:tcPr>
            <w:tcW w:w="1951" w:type="dxa"/>
            <w:vMerge w:val="restart"/>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iCs/>
                <w:sz w:val="20"/>
                <w:szCs w:val="20"/>
              </w:rPr>
              <w:t>YF240OD</w:t>
            </w:r>
          </w:p>
        </w:tc>
        <w:tc>
          <w:tcPr>
            <w:tcW w:w="283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 xml:space="preserve">12/18 </w:t>
            </w:r>
            <w:r w:rsidRPr="007255F5">
              <w:rPr>
                <w:rFonts w:ascii="Times New Roman" w:hAnsi="Times New Roman" w:cs="Times New Roman"/>
                <w:iCs/>
                <w:sz w:val="20"/>
                <w:szCs w:val="20"/>
              </w:rPr>
              <w:t>Carbolite</w:t>
            </w:r>
          </w:p>
        </w:tc>
      </w:tr>
      <w:tr w:rsidR="007255F5" w:rsidRPr="007255F5" w:rsidTr="001C47B7">
        <w:trPr>
          <w:jc w:val="center"/>
        </w:trPr>
        <w:tc>
          <w:tcPr>
            <w:tcW w:w="1951" w:type="dxa"/>
            <w:vMerge/>
            <w:vAlign w:val="center"/>
          </w:tcPr>
          <w:p w:rsidR="007255F5" w:rsidRPr="007255F5" w:rsidRDefault="007255F5" w:rsidP="00390417">
            <w:pPr>
              <w:spacing w:after="0"/>
              <w:jc w:val="center"/>
              <w:rPr>
                <w:rFonts w:ascii="Times New Roman" w:hAnsi="Times New Roman" w:cs="Times New Roman"/>
                <w:sz w:val="20"/>
                <w:szCs w:val="20"/>
              </w:rPr>
            </w:pPr>
          </w:p>
        </w:tc>
        <w:tc>
          <w:tcPr>
            <w:tcW w:w="283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 xml:space="preserve">16/20 </w:t>
            </w:r>
            <w:r w:rsidRPr="007255F5">
              <w:rPr>
                <w:rFonts w:ascii="Times New Roman" w:hAnsi="Times New Roman" w:cs="Times New Roman"/>
                <w:iCs/>
                <w:sz w:val="20"/>
                <w:szCs w:val="20"/>
              </w:rPr>
              <w:t>Carbolite</w:t>
            </w:r>
          </w:p>
        </w:tc>
      </w:tr>
      <w:tr w:rsidR="007255F5" w:rsidRPr="007255F5" w:rsidTr="001C47B7">
        <w:trPr>
          <w:jc w:val="center"/>
        </w:trPr>
        <w:tc>
          <w:tcPr>
            <w:tcW w:w="1951" w:type="dxa"/>
            <w:vMerge/>
            <w:vAlign w:val="center"/>
          </w:tcPr>
          <w:p w:rsidR="007255F5" w:rsidRPr="007255F5" w:rsidRDefault="007255F5" w:rsidP="00390417">
            <w:pPr>
              <w:spacing w:after="0"/>
              <w:jc w:val="center"/>
              <w:rPr>
                <w:rFonts w:ascii="Times New Roman" w:hAnsi="Times New Roman" w:cs="Times New Roman"/>
                <w:sz w:val="20"/>
                <w:szCs w:val="20"/>
              </w:rPr>
            </w:pPr>
          </w:p>
        </w:tc>
        <w:tc>
          <w:tcPr>
            <w:tcW w:w="283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 xml:space="preserve">20/40 </w:t>
            </w:r>
            <w:r w:rsidRPr="007255F5">
              <w:rPr>
                <w:rFonts w:ascii="Times New Roman" w:hAnsi="Times New Roman" w:cs="Times New Roman"/>
                <w:iCs/>
                <w:sz w:val="20"/>
                <w:szCs w:val="20"/>
              </w:rPr>
              <w:t>Carbolite</w:t>
            </w:r>
          </w:p>
        </w:tc>
      </w:tr>
      <w:tr w:rsidR="007255F5" w:rsidRPr="007255F5" w:rsidTr="001C47B7">
        <w:trPr>
          <w:jc w:val="center"/>
        </w:trPr>
        <w:tc>
          <w:tcPr>
            <w:tcW w:w="1951" w:type="dxa"/>
            <w:vMerge w:val="restart"/>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iCs/>
                <w:sz w:val="20"/>
                <w:szCs w:val="20"/>
              </w:rPr>
              <w:t>PrimeFRAC20</w:t>
            </w:r>
          </w:p>
        </w:tc>
        <w:tc>
          <w:tcPr>
            <w:tcW w:w="283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 xml:space="preserve">12/18 </w:t>
            </w:r>
            <w:r w:rsidRPr="007255F5">
              <w:rPr>
                <w:rFonts w:ascii="Times New Roman" w:hAnsi="Times New Roman" w:cs="Times New Roman"/>
                <w:iCs/>
                <w:sz w:val="20"/>
                <w:szCs w:val="20"/>
              </w:rPr>
              <w:t>Carbolite</w:t>
            </w:r>
          </w:p>
        </w:tc>
      </w:tr>
      <w:tr w:rsidR="007255F5" w:rsidRPr="007255F5" w:rsidTr="001C47B7">
        <w:trPr>
          <w:jc w:val="center"/>
        </w:trPr>
        <w:tc>
          <w:tcPr>
            <w:tcW w:w="1951" w:type="dxa"/>
            <w:vMerge/>
          </w:tcPr>
          <w:p w:rsidR="007255F5" w:rsidRPr="007255F5" w:rsidRDefault="007255F5" w:rsidP="00390417">
            <w:pPr>
              <w:spacing w:after="0"/>
              <w:jc w:val="center"/>
              <w:rPr>
                <w:rFonts w:ascii="Times New Roman" w:hAnsi="Times New Roman" w:cs="Times New Roman"/>
                <w:sz w:val="20"/>
                <w:szCs w:val="20"/>
              </w:rPr>
            </w:pPr>
          </w:p>
        </w:tc>
        <w:tc>
          <w:tcPr>
            <w:tcW w:w="283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 xml:space="preserve">16/20 </w:t>
            </w:r>
            <w:r w:rsidRPr="007255F5">
              <w:rPr>
                <w:rFonts w:ascii="Times New Roman" w:hAnsi="Times New Roman" w:cs="Times New Roman"/>
                <w:iCs/>
                <w:sz w:val="20"/>
                <w:szCs w:val="20"/>
              </w:rPr>
              <w:t>Carbolite</w:t>
            </w:r>
          </w:p>
        </w:tc>
      </w:tr>
      <w:tr w:rsidR="007255F5" w:rsidRPr="007255F5" w:rsidTr="001C47B7">
        <w:trPr>
          <w:jc w:val="center"/>
        </w:trPr>
        <w:tc>
          <w:tcPr>
            <w:tcW w:w="1951" w:type="dxa"/>
            <w:vMerge/>
          </w:tcPr>
          <w:p w:rsidR="007255F5" w:rsidRPr="007255F5" w:rsidRDefault="007255F5" w:rsidP="00390417">
            <w:pPr>
              <w:spacing w:after="0"/>
              <w:jc w:val="center"/>
              <w:rPr>
                <w:rFonts w:ascii="Times New Roman" w:hAnsi="Times New Roman" w:cs="Times New Roman"/>
                <w:sz w:val="20"/>
                <w:szCs w:val="20"/>
              </w:rPr>
            </w:pPr>
          </w:p>
        </w:tc>
        <w:tc>
          <w:tcPr>
            <w:tcW w:w="283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 xml:space="preserve">20/40 </w:t>
            </w:r>
            <w:r w:rsidRPr="007255F5">
              <w:rPr>
                <w:rFonts w:ascii="Times New Roman" w:hAnsi="Times New Roman" w:cs="Times New Roman"/>
                <w:iCs/>
                <w:sz w:val="20"/>
                <w:szCs w:val="20"/>
              </w:rPr>
              <w:t>Carbolite</w:t>
            </w:r>
          </w:p>
        </w:tc>
      </w:tr>
    </w:tbl>
    <w:p w:rsidR="007255F5" w:rsidRPr="007255F5" w:rsidRDefault="007255F5" w:rsidP="00390417">
      <w:pPr>
        <w:spacing w:after="0" w:line="240" w:lineRule="auto"/>
        <w:jc w:val="center"/>
        <w:rPr>
          <w:rFonts w:ascii="Times New Roman" w:hAnsi="Times New Roman"/>
          <w:b/>
          <w:sz w:val="20"/>
          <w:szCs w:val="20"/>
        </w:rPr>
      </w:pPr>
    </w:p>
    <w:p w:rsidR="007255F5" w:rsidRPr="00C32A56" w:rsidRDefault="007255F5" w:rsidP="00C32A56">
      <w:pPr>
        <w:spacing w:after="0" w:line="360" w:lineRule="auto"/>
        <w:jc w:val="center"/>
        <w:rPr>
          <w:rFonts w:ascii="Times New Roman" w:hAnsi="Times New Roman"/>
          <w:b/>
          <w:bCs/>
          <w:sz w:val="20"/>
          <w:szCs w:val="20"/>
        </w:rPr>
      </w:pPr>
      <w:r w:rsidRPr="007255F5">
        <w:rPr>
          <w:rFonts w:ascii="Times New Roman" w:hAnsi="Times New Roman"/>
          <w:b/>
          <w:bCs/>
          <w:sz w:val="20"/>
          <w:szCs w:val="20"/>
        </w:rPr>
        <w:t>Table 6.</w:t>
      </w:r>
      <w:r w:rsidR="00C32A56">
        <w:rPr>
          <w:rFonts w:ascii="Times New Roman" w:hAnsi="Times New Roman"/>
          <w:b/>
          <w:bCs/>
          <w:sz w:val="20"/>
          <w:szCs w:val="20"/>
          <w:lang w:val="id-ID"/>
        </w:rPr>
        <w:t xml:space="preserve"> </w:t>
      </w:r>
      <w:proofErr w:type="spellStart"/>
      <w:r w:rsidRPr="007255F5">
        <w:rPr>
          <w:rFonts w:ascii="Times New Roman" w:hAnsi="Times New Roman"/>
          <w:b/>
          <w:bCs/>
          <w:sz w:val="20"/>
          <w:szCs w:val="20"/>
        </w:rPr>
        <w:t>Carbolite</w:t>
      </w:r>
      <w:proofErr w:type="spellEnd"/>
      <w:r w:rsidRPr="007255F5">
        <w:rPr>
          <w:rFonts w:ascii="Times New Roman" w:hAnsi="Times New Roman"/>
          <w:b/>
          <w:bCs/>
          <w:sz w:val="20"/>
          <w:szCs w:val="20"/>
        </w:rPr>
        <w:t xml:space="preserve"> </w:t>
      </w:r>
      <w:proofErr w:type="spellStart"/>
      <w:r w:rsidRPr="007255F5">
        <w:rPr>
          <w:rFonts w:ascii="Times New Roman" w:hAnsi="Times New Roman"/>
          <w:b/>
          <w:bCs/>
          <w:sz w:val="20"/>
          <w:szCs w:val="20"/>
        </w:rPr>
        <w:t>Proppant</w:t>
      </w:r>
      <w:proofErr w:type="spellEnd"/>
      <w:r w:rsidRPr="007255F5">
        <w:rPr>
          <w:rFonts w:ascii="Times New Roman" w:hAnsi="Times New Roman"/>
          <w:b/>
          <w:bCs/>
          <w:sz w:val="20"/>
          <w:szCs w:val="20"/>
        </w:rPr>
        <w:t xml:space="preserve"> Data Properties</w:t>
      </w:r>
    </w:p>
    <w:tbl>
      <w:tblPr>
        <w:tblStyle w:val="TableGrid"/>
        <w:tblW w:w="0" w:type="auto"/>
        <w:jc w:val="center"/>
        <w:tblLayout w:type="fixed"/>
        <w:tblLook w:val="04A0" w:firstRow="1" w:lastRow="0" w:firstColumn="1" w:lastColumn="0" w:noHBand="0" w:noVBand="1"/>
      </w:tblPr>
      <w:tblGrid>
        <w:gridCol w:w="817"/>
        <w:gridCol w:w="851"/>
        <w:gridCol w:w="1021"/>
        <w:gridCol w:w="992"/>
        <w:gridCol w:w="709"/>
        <w:gridCol w:w="1275"/>
      </w:tblGrid>
      <w:tr w:rsidR="007255F5" w:rsidRPr="007255F5" w:rsidTr="001C47B7">
        <w:trPr>
          <w:trHeight w:val="805"/>
          <w:jc w:val="center"/>
        </w:trPr>
        <w:tc>
          <w:tcPr>
            <w:tcW w:w="817" w:type="dxa"/>
            <w:shd w:val="clear" w:color="auto" w:fill="auto"/>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Type</w:t>
            </w:r>
          </w:p>
        </w:tc>
        <w:tc>
          <w:tcPr>
            <w:tcW w:w="851" w:type="dxa"/>
            <w:shd w:val="clear" w:color="auto" w:fill="auto"/>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Size</w:t>
            </w:r>
          </w:p>
        </w:tc>
        <w:tc>
          <w:tcPr>
            <w:tcW w:w="1021" w:type="dxa"/>
            <w:shd w:val="clear" w:color="auto" w:fill="auto"/>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D (in)</w:t>
            </w:r>
          </w:p>
        </w:tc>
        <w:tc>
          <w:tcPr>
            <w:tcW w:w="992" w:type="dxa"/>
            <w:shd w:val="clear" w:color="auto" w:fill="auto"/>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ρ (ppg)</w:t>
            </w:r>
          </w:p>
        </w:tc>
        <w:tc>
          <w:tcPr>
            <w:tcW w:w="709" w:type="dxa"/>
            <w:shd w:val="clear" w:color="auto" w:fill="auto"/>
            <w:vAlign w:val="center"/>
          </w:tcPr>
          <w:p w:rsidR="007255F5" w:rsidRPr="007255F5" w:rsidRDefault="007255F5"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SG</w:t>
            </w:r>
          </w:p>
        </w:tc>
        <w:tc>
          <w:tcPr>
            <w:tcW w:w="1275" w:type="dxa"/>
            <w:shd w:val="clear" w:color="auto" w:fill="auto"/>
            <w:vAlign w:val="center"/>
          </w:tcPr>
          <w:p w:rsidR="007255F5" w:rsidRPr="007255F5" w:rsidRDefault="006B3FAA" w:rsidP="00390417">
            <w:pPr>
              <w:spacing w:after="0"/>
              <w:jc w:val="center"/>
              <w:rPr>
                <w:rFonts w:ascii="Times New Roman" w:hAnsi="Times New Roman" w:cs="Times New Roman"/>
                <w:b/>
                <w:sz w:val="20"/>
                <w:szCs w:val="20"/>
              </w:rPr>
            </w:pPr>
            <w:r w:rsidRPr="007255F5">
              <w:rPr>
                <w:rFonts w:ascii="Times New Roman" w:hAnsi="Times New Roman" w:cs="Times New Roman"/>
                <w:b/>
                <w:sz w:val="20"/>
                <w:szCs w:val="20"/>
              </w:rPr>
              <w:t>K</w:t>
            </w:r>
            <w:r>
              <w:rPr>
                <w:rFonts w:ascii="Times New Roman" w:hAnsi="Times New Roman" w:cs="Times New Roman"/>
                <w:b/>
                <w:sz w:val="20"/>
                <w:szCs w:val="20"/>
              </w:rPr>
              <w:t xml:space="preserve"> </w:t>
            </w:r>
            <w:r w:rsidR="007255F5" w:rsidRPr="007255F5">
              <w:rPr>
                <w:rFonts w:ascii="Times New Roman" w:hAnsi="Times New Roman" w:cs="Times New Roman"/>
                <w:b/>
                <w:sz w:val="20"/>
                <w:szCs w:val="20"/>
              </w:rPr>
              <w:t>(mD)</w:t>
            </w:r>
          </w:p>
        </w:tc>
      </w:tr>
      <w:tr w:rsidR="007255F5" w:rsidRPr="007255F5" w:rsidTr="001C47B7">
        <w:trPr>
          <w:jc w:val="center"/>
        </w:trPr>
        <w:tc>
          <w:tcPr>
            <w:tcW w:w="817" w:type="dxa"/>
            <w:vMerge w:val="restart"/>
            <w:vAlign w:val="center"/>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C-Lite</w:t>
            </w:r>
          </w:p>
        </w:tc>
        <w:tc>
          <w:tcPr>
            <w:tcW w:w="85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12/18</w:t>
            </w:r>
          </w:p>
        </w:tc>
        <w:tc>
          <w:tcPr>
            <w:tcW w:w="102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0.052</w:t>
            </w:r>
          </w:p>
        </w:tc>
        <w:tc>
          <w:tcPr>
            <w:tcW w:w="992"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13.37</w:t>
            </w:r>
          </w:p>
        </w:tc>
        <w:tc>
          <w:tcPr>
            <w:tcW w:w="70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2.71</w:t>
            </w:r>
          </w:p>
        </w:tc>
        <w:tc>
          <w:tcPr>
            <w:tcW w:w="127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33810</w:t>
            </w:r>
          </w:p>
        </w:tc>
      </w:tr>
      <w:tr w:rsidR="007255F5" w:rsidRPr="007255F5" w:rsidTr="001C47B7">
        <w:trPr>
          <w:jc w:val="center"/>
        </w:trPr>
        <w:tc>
          <w:tcPr>
            <w:tcW w:w="817" w:type="dxa"/>
            <w:vMerge/>
          </w:tcPr>
          <w:p w:rsidR="007255F5" w:rsidRPr="007255F5" w:rsidRDefault="007255F5" w:rsidP="00390417">
            <w:pPr>
              <w:spacing w:after="0"/>
              <w:jc w:val="center"/>
              <w:rPr>
                <w:rFonts w:ascii="Times New Roman" w:hAnsi="Times New Roman" w:cs="Times New Roman"/>
                <w:sz w:val="20"/>
                <w:szCs w:val="20"/>
              </w:rPr>
            </w:pPr>
          </w:p>
        </w:tc>
        <w:tc>
          <w:tcPr>
            <w:tcW w:w="85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16/20</w:t>
            </w:r>
          </w:p>
        </w:tc>
        <w:tc>
          <w:tcPr>
            <w:tcW w:w="102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0.037</w:t>
            </w:r>
          </w:p>
        </w:tc>
        <w:tc>
          <w:tcPr>
            <w:tcW w:w="992"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13.64</w:t>
            </w:r>
          </w:p>
        </w:tc>
        <w:tc>
          <w:tcPr>
            <w:tcW w:w="70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2.71</w:t>
            </w:r>
          </w:p>
        </w:tc>
        <w:tc>
          <w:tcPr>
            <w:tcW w:w="127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126224</w:t>
            </w:r>
          </w:p>
        </w:tc>
      </w:tr>
      <w:tr w:rsidR="007255F5" w:rsidRPr="007255F5" w:rsidTr="001C47B7">
        <w:trPr>
          <w:jc w:val="center"/>
        </w:trPr>
        <w:tc>
          <w:tcPr>
            <w:tcW w:w="817" w:type="dxa"/>
            <w:vMerge/>
          </w:tcPr>
          <w:p w:rsidR="007255F5" w:rsidRPr="007255F5" w:rsidRDefault="007255F5" w:rsidP="00390417">
            <w:pPr>
              <w:spacing w:after="0"/>
              <w:jc w:val="center"/>
              <w:rPr>
                <w:rFonts w:ascii="Times New Roman" w:hAnsi="Times New Roman" w:cs="Times New Roman"/>
                <w:sz w:val="20"/>
                <w:szCs w:val="20"/>
              </w:rPr>
            </w:pPr>
          </w:p>
        </w:tc>
        <w:tc>
          <w:tcPr>
            <w:tcW w:w="85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20/40</w:t>
            </w:r>
          </w:p>
        </w:tc>
        <w:tc>
          <w:tcPr>
            <w:tcW w:w="1021"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0.028</w:t>
            </w:r>
          </w:p>
        </w:tc>
        <w:tc>
          <w:tcPr>
            <w:tcW w:w="992"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13.64</w:t>
            </w:r>
          </w:p>
        </w:tc>
        <w:tc>
          <w:tcPr>
            <w:tcW w:w="709"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2.71</w:t>
            </w:r>
          </w:p>
        </w:tc>
        <w:tc>
          <w:tcPr>
            <w:tcW w:w="1275" w:type="dxa"/>
          </w:tcPr>
          <w:p w:rsidR="007255F5" w:rsidRPr="007255F5" w:rsidRDefault="007255F5" w:rsidP="00390417">
            <w:pPr>
              <w:spacing w:after="0"/>
              <w:jc w:val="center"/>
              <w:rPr>
                <w:rFonts w:ascii="Times New Roman" w:hAnsi="Times New Roman" w:cs="Times New Roman"/>
                <w:sz w:val="20"/>
                <w:szCs w:val="20"/>
              </w:rPr>
            </w:pPr>
            <w:r w:rsidRPr="007255F5">
              <w:rPr>
                <w:rFonts w:ascii="Times New Roman" w:hAnsi="Times New Roman" w:cs="Times New Roman"/>
                <w:sz w:val="20"/>
                <w:szCs w:val="20"/>
              </w:rPr>
              <w:t>102537</w:t>
            </w:r>
          </w:p>
        </w:tc>
      </w:tr>
    </w:tbl>
    <w:p w:rsidR="007255F5" w:rsidRPr="007255F5" w:rsidRDefault="007255F5" w:rsidP="00390417">
      <w:pPr>
        <w:spacing w:after="0"/>
        <w:jc w:val="center"/>
        <w:rPr>
          <w:rFonts w:ascii="Times New Roman" w:hAnsi="Times New Roman"/>
          <w:sz w:val="20"/>
          <w:szCs w:val="20"/>
        </w:rPr>
      </w:pPr>
    </w:p>
    <w:p w:rsidR="007255F5" w:rsidRPr="007255F5" w:rsidRDefault="007255F5" w:rsidP="007255F5">
      <w:pPr>
        <w:jc w:val="center"/>
        <w:rPr>
          <w:rFonts w:ascii="Times New Roman" w:hAnsi="Times New Roman"/>
          <w:sz w:val="20"/>
          <w:szCs w:val="20"/>
        </w:rPr>
      </w:pPr>
      <w:r w:rsidRPr="007255F5">
        <w:rPr>
          <w:rFonts w:ascii="Times New Roman" w:hAnsi="Times New Roman"/>
          <w:noProof/>
          <w:sz w:val="20"/>
          <w:szCs w:val="20"/>
        </w:rPr>
        <w:drawing>
          <wp:inline distT="0" distB="0" distL="0" distR="0" wp14:anchorId="681533D7" wp14:editId="1072A60F">
            <wp:extent cx="5649537" cy="3571875"/>
            <wp:effectExtent l="19050" t="19050" r="279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69544" cy="3584524"/>
                    </a:xfrm>
                    <a:prstGeom prst="rect">
                      <a:avLst/>
                    </a:prstGeom>
                    <a:ln w="19050">
                      <a:solidFill>
                        <a:schemeClr val="tx1"/>
                      </a:solidFill>
                    </a:ln>
                  </pic:spPr>
                </pic:pic>
              </a:graphicData>
            </a:graphic>
          </wp:inline>
        </w:drawing>
      </w:r>
    </w:p>
    <w:p w:rsidR="007255F5" w:rsidRPr="007255F5" w:rsidRDefault="00D96D54" w:rsidP="007255F5">
      <w:pPr>
        <w:jc w:val="center"/>
        <w:rPr>
          <w:rFonts w:ascii="Times New Roman" w:hAnsi="Times New Roman"/>
          <w:b/>
          <w:sz w:val="20"/>
          <w:szCs w:val="20"/>
        </w:rPr>
      </w:pPr>
      <w:r w:rsidRPr="00D96D54">
        <w:rPr>
          <w:rFonts w:ascii="Times New Roman" w:hAnsi="Times New Roman"/>
          <w:b/>
          <w:sz w:val="20"/>
          <w:szCs w:val="20"/>
        </w:rPr>
        <w:t>Figure</w:t>
      </w:r>
      <w:r w:rsidR="00C32A56">
        <w:rPr>
          <w:rFonts w:ascii="Times New Roman" w:hAnsi="Times New Roman"/>
          <w:b/>
          <w:sz w:val="20"/>
          <w:szCs w:val="20"/>
        </w:rPr>
        <w:t xml:space="preserve"> 1</w:t>
      </w:r>
      <w:r w:rsidR="007255F5" w:rsidRPr="007255F5">
        <w:rPr>
          <w:rFonts w:ascii="Times New Roman" w:hAnsi="Times New Roman"/>
          <w:b/>
          <w:sz w:val="20"/>
          <w:szCs w:val="20"/>
        </w:rPr>
        <w:t xml:space="preserve">. Permeability Graph of Various Size of </w:t>
      </w:r>
      <w:proofErr w:type="spellStart"/>
      <w:r w:rsidR="007255F5" w:rsidRPr="007255F5">
        <w:rPr>
          <w:rFonts w:ascii="Times New Roman" w:hAnsi="Times New Roman"/>
          <w:b/>
          <w:sz w:val="20"/>
          <w:szCs w:val="20"/>
        </w:rPr>
        <w:t>Carbolite</w:t>
      </w:r>
      <w:proofErr w:type="spellEnd"/>
      <w:r w:rsidR="007255F5" w:rsidRPr="007255F5">
        <w:rPr>
          <w:rFonts w:ascii="Times New Roman" w:hAnsi="Times New Roman"/>
          <w:b/>
          <w:sz w:val="20"/>
          <w:szCs w:val="20"/>
        </w:rPr>
        <w:t xml:space="preserve"> </w:t>
      </w:r>
      <w:proofErr w:type="spellStart"/>
      <w:r w:rsidR="007255F5" w:rsidRPr="007255F5">
        <w:rPr>
          <w:rFonts w:ascii="Times New Roman" w:hAnsi="Times New Roman"/>
          <w:b/>
          <w:sz w:val="20"/>
          <w:szCs w:val="20"/>
        </w:rPr>
        <w:t>Proppant</w:t>
      </w:r>
      <w:proofErr w:type="spellEnd"/>
      <w:r w:rsidR="007255F5" w:rsidRPr="007255F5">
        <w:rPr>
          <w:rFonts w:ascii="Times New Roman" w:hAnsi="Times New Roman"/>
          <w:b/>
          <w:sz w:val="20"/>
          <w:szCs w:val="20"/>
        </w:rPr>
        <w:t xml:space="preserve"> (</w:t>
      </w:r>
      <w:proofErr w:type="spellStart"/>
      <w:r w:rsidR="007255F5" w:rsidRPr="007255F5">
        <w:rPr>
          <w:rFonts w:ascii="Times New Roman" w:hAnsi="Times New Roman"/>
          <w:b/>
          <w:sz w:val="20"/>
          <w:szCs w:val="20"/>
        </w:rPr>
        <w:t>FracCADE</w:t>
      </w:r>
      <w:proofErr w:type="spellEnd"/>
      <w:r w:rsidR="007255F5" w:rsidRPr="007255F5">
        <w:rPr>
          <w:rFonts w:ascii="Times New Roman" w:hAnsi="Times New Roman"/>
          <w:b/>
          <w:sz w:val="20"/>
          <w:szCs w:val="20"/>
        </w:rPr>
        <w:t>)</w:t>
      </w:r>
    </w:p>
    <w:p w:rsidR="007255F5" w:rsidRPr="00C035B0" w:rsidRDefault="007255F5" w:rsidP="00390417">
      <w:pPr>
        <w:spacing w:after="0" w:line="240" w:lineRule="auto"/>
        <w:jc w:val="both"/>
        <w:rPr>
          <w:rFonts w:ascii="Times New Roman" w:eastAsia="Times New Roman" w:hAnsi="Times New Roman"/>
          <w:sz w:val="20"/>
          <w:szCs w:val="20"/>
        </w:rPr>
      </w:pPr>
      <w:r w:rsidRPr="007255F5">
        <w:rPr>
          <w:rFonts w:ascii="Times New Roman" w:hAnsi="Times New Roman"/>
          <w:sz w:val="20"/>
          <w:szCs w:val="20"/>
        </w:rPr>
        <w:t>After obtaining the fracture results from the simulation, such as fracture length (</w:t>
      </w:r>
      <w:proofErr w:type="spellStart"/>
      <w:r w:rsidRPr="007255F5">
        <w:rPr>
          <w:rFonts w:ascii="Times New Roman" w:hAnsi="Times New Roman"/>
          <w:sz w:val="20"/>
          <w:szCs w:val="20"/>
        </w:rPr>
        <w:t>Xf</w:t>
      </w:r>
      <w:proofErr w:type="spellEnd"/>
      <w:r w:rsidRPr="007255F5">
        <w:rPr>
          <w:rFonts w:ascii="Times New Roman" w:hAnsi="Times New Roman"/>
          <w:sz w:val="20"/>
          <w:szCs w:val="20"/>
        </w:rPr>
        <w:t>), fracture width (w (o)), fracture height (</w:t>
      </w:r>
      <w:proofErr w:type="spellStart"/>
      <w:r w:rsidRPr="007255F5">
        <w:rPr>
          <w:rFonts w:ascii="Times New Roman" w:hAnsi="Times New Roman"/>
          <w:sz w:val="20"/>
          <w:szCs w:val="20"/>
        </w:rPr>
        <w:t>Hf</w:t>
      </w:r>
      <w:proofErr w:type="spellEnd"/>
      <w:r w:rsidRPr="007255F5">
        <w:rPr>
          <w:rFonts w:ascii="Times New Roman" w:hAnsi="Times New Roman"/>
          <w:sz w:val="20"/>
          <w:szCs w:val="20"/>
        </w:rPr>
        <w:t>), and effective conductivity (</w:t>
      </w:r>
      <w:proofErr w:type="spellStart"/>
      <w:r w:rsidRPr="007255F5">
        <w:rPr>
          <w:rFonts w:ascii="Times New Roman" w:hAnsi="Times New Roman"/>
          <w:sz w:val="20"/>
          <w:szCs w:val="20"/>
        </w:rPr>
        <w:t>wkf</w:t>
      </w:r>
      <w:proofErr w:type="spellEnd"/>
      <w:r w:rsidRPr="007255F5">
        <w:rPr>
          <w:rFonts w:ascii="Times New Roman" w:hAnsi="Times New Roman"/>
          <w:sz w:val="20"/>
          <w:szCs w:val="20"/>
        </w:rPr>
        <w:t xml:space="preserve">) from various combinations of fracture fluid selection and </w:t>
      </w:r>
      <w:proofErr w:type="spellStart"/>
      <w:r w:rsidRPr="007255F5">
        <w:rPr>
          <w:rFonts w:ascii="Times New Roman" w:hAnsi="Times New Roman"/>
          <w:sz w:val="20"/>
          <w:szCs w:val="20"/>
        </w:rPr>
        <w:t>proppant</w:t>
      </w:r>
      <w:proofErr w:type="spellEnd"/>
      <w:r w:rsidRPr="007255F5">
        <w:rPr>
          <w:rFonts w:ascii="Times New Roman" w:hAnsi="Times New Roman"/>
          <w:sz w:val="20"/>
          <w:szCs w:val="20"/>
        </w:rPr>
        <w:t xml:space="preserve"> size. Next, calculate the FOI value (fold of increase). FOI calculations were performed using the McGuire &amp; </w:t>
      </w:r>
      <w:proofErr w:type="spellStart"/>
      <w:r w:rsidRPr="007255F5">
        <w:rPr>
          <w:rFonts w:ascii="Times New Roman" w:hAnsi="Times New Roman"/>
          <w:sz w:val="20"/>
          <w:szCs w:val="20"/>
        </w:rPr>
        <w:t>Sikora</w:t>
      </w:r>
      <w:proofErr w:type="spellEnd"/>
      <w:r w:rsidRPr="007255F5">
        <w:rPr>
          <w:rFonts w:ascii="Times New Roman" w:hAnsi="Times New Roman"/>
          <w:sz w:val="20"/>
          <w:szCs w:val="20"/>
        </w:rPr>
        <w:t xml:space="preserve">, </w:t>
      </w:r>
      <w:proofErr w:type="spellStart"/>
      <w:r w:rsidRPr="007255F5">
        <w:rPr>
          <w:rFonts w:ascii="Times New Roman" w:hAnsi="Times New Roman"/>
          <w:sz w:val="20"/>
          <w:szCs w:val="20"/>
        </w:rPr>
        <w:t>Cinco</w:t>
      </w:r>
      <w:proofErr w:type="spellEnd"/>
      <w:r w:rsidRPr="007255F5">
        <w:rPr>
          <w:rFonts w:ascii="Times New Roman" w:hAnsi="Times New Roman"/>
          <w:sz w:val="20"/>
          <w:szCs w:val="20"/>
        </w:rPr>
        <w:t xml:space="preserve">-Ley </w:t>
      </w:r>
      <w:proofErr w:type="spellStart"/>
      <w:r w:rsidRPr="007255F5">
        <w:rPr>
          <w:rFonts w:ascii="Times New Roman" w:hAnsi="Times New Roman"/>
          <w:sz w:val="20"/>
          <w:szCs w:val="20"/>
        </w:rPr>
        <w:t>Samaniego</w:t>
      </w:r>
      <w:proofErr w:type="spellEnd"/>
      <w:r w:rsidRPr="007255F5">
        <w:rPr>
          <w:rFonts w:ascii="Times New Roman" w:hAnsi="Times New Roman"/>
          <w:sz w:val="20"/>
          <w:szCs w:val="20"/>
        </w:rPr>
        <w:t xml:space="preserve"> and Tinsley &amp; </w:t>
      </w:r>
      <w:proofErr w:type="spellStart"/>
      <w:r w:rsidRPr="007255F5">
        <w:rPr>
          <w:rFonts w:ascii="Times New Roman" w:hAnsi="Times New Roman"/>
          <w:sz w:val="20"/>
          <w:szCs w:val="20"/>
        </w:rPr>
        <w:t>Soliman</w:t>
      </w:r>
      <w:proofErr w:type="spellEnd"/>
      <w:r w:rsidRPr="007255F5">
        <w:rPr>
          <w:rFonts w:ascii="Times New Roman" w:hAnsi="Times New Roman"/>
          <w:sz w:val="20"/>
          <w:szCs w:val="20"/>
        </w:rPr>
        <w:t xml:space="preserve"> methods for each simulation treatment carried out with the sensitivity of various combinations of fluid types and </w:t>
      </w:r>
      <w:proofErr w:type="spellStart"/>
      <w:r w:rsidRPr="007255F5">
        <w:rPr>
          <w:rFonts w:ascii="Times New Roman" w:hAnsi="Times New Roman"/>
          <w:sz w:val="20"/>
          <w:szCs w:val="20"/>
        </w:rPr>
        <w:t>proppant</w:t>
      </w:r>
      <w:proofErr w:type="spellEnd"/>
      <w:r w:rsidRPr="007255F5">
        <w:rPr>
          <w:rFonts w:ascii="Times New Roman" w:hAnsi="Times New Roman"/>
          <w:sz w:val="20"/>
          <w:szCs w:val="20"/>
        </w:rPr>
        <w:t xml:space="preserve"> sizes.</w:t>
      </w:r>
    </w:p>
    <w:p w:rsidR="00FA3FCA" w:rsidRDefault="00FA3FCA" w:rsidP="0018484B">
      <w:pPr>
        <w:pStyle w:val="NoSpacing"/>
        <w:spacing w:after="120"/>
        <w:ind w:left="567" w:hanging="567"/>
        <w:rPr>
          <w:rFonts w:ascii="Times New Roman" w:hAnsi="Times New Roman"/>
          <w:b/>
          <w:sz w:val="20"/>
          <w:szCs w:val="20"/>
        </w:rPr>
      </w:pPr>
    </w:p>
    <w:p w:rsidR="002A6E66" w:rsidRPr="0018484B" w:rsidRDefault="002A6E66" w:rsidP="0018484B">
      <w:pPr>
        <w:pStyle w:val="NoSpacing"/>
        <w:spacing w:after="120"/>
        <w:ind w:left="567" w:hanging="567"/>
        <w:rPr>
          <w:rFonts w:ascii="Times New Roman" w:hAnsi="Times New Roman"/>
          <w:b/>
          <w:sz w:val="20"/>
          <w:szCs w:val="20"/>
        </w:rPr>
      </w:pPr>
      <w:r w:rsidRPr="00A04A9E">
        <w:rPr>
          <w:rFonts w:ascii="Times New Roman" w:hAnsi="Times New Roman"/>
          <w:b/>
          <w:sz w:val="20"/>
          <w:szCs w:val="20"/>
        </w:rPr>
        <w:t>III.</w:t>
      </w:r>
      <w:r w:rsidRPr="00A04A9E">
        <w:rPr>
          <w:rFonts w:ascii="Times New Roman" w:hAnsi="Times New Roman"/>
          <w:b/>
          <w:sz w:val="20"/>
          <w:szCs w:val="20"/>
        </w:rPr>
        <w:tab/>
      </w:r>
      <w:r w:rsidR="0018484B" w:rsidRPr="0018484B">
        <w:rPr>
          <w:rFonts w:ascii="Times New Roman" w:hAnsi="Times New Roman"/>
          <w:b/>
          <w:sz w:val="20"/>
          <w:szCs w:val="20"/>
        </w:rPr>
        <w:t>RESULTS AND DISCUSSION</w:t>
      </w:r>
    </w:p>
    <w:p w:rsidR="002A69C4" w:rsidRPr="002A69C4" w:rsidRDefault="002A69C4" w:rsidP="002A69C4">
      <w:pPr>
        <w:spacing w:line="240" w:lineRule="auto"/>
        <w:jc w:val="both"/>
        <w:rPr>
          <w:rFonts w:ascii="Times New Roman" w:hAnsi="Times New Roman"/>
          <w:sz w:val="20"/>
          <w:szCs w:val="20"/>
        </w:rPr>
      </w:pPr>
      <w:r w:rsidRPr="002A69C4">
        <w:rPr>
          <w:rFonts w:ascii="Times New Roman" w:hAnsi="Times New Roman"/>
          <w:sz w:val="20"/>
          <w:szCs w:val="20"/>
        </w:rPr>
        <w:t xml:space="preserve">Based on the results of calculations and simulations using the PKN 2D method with </w:t>
      </w:r>
      <w:proofErr w:type="spellStart"/>
      <w:r w:rsidRPr="002A69C4">
        <w:rPr>
          <w:rFonts w:ascii="Times New Roman" w:hAnsi="Times New Roman"/>
          <w:sz w:val="20"/>
          <w:szCs w:val="20"/>
        </w:rPr>
        <w:t>FracCADE</w:t>
      </w:r>
      <w:proofErr w:type="spellEnd"/>
      <w:r w:rsidRPr="002A69C4">
        <w:rPr>
          <w:rFonts w:ascii="Times New Roman" w:hAnsi="Times New Roman"/>
          <w:sz w:val="20"/>
          <w:szCs w:val="20"/>
        </w:rPr>
        <w:t xml:space="preserve"> software, the fracture geometry to FOI were obtained from each of the fracturing fluid selection sensitivity and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 as follows:</w:t>
      </w:r>
    </w:p>
    <w:p w:rsidR="002A69C4" w:rsidRPr="002A69C4" w:rsidRDefault="002A69C4" w:rsidP="002A69C4">
      <w:pPr>
        <w:pStyle w:val="ListParagraph"/>
        <w:numPr>
          <w:ilvl w:val="0"/>
          <w:numId w:val="7"/>
        </w:numPr>
        <w:spacing w:after="160" w:line="240" w:lineRule="auto"/>
        <w:ind w:left="284" w:hanging="284"/>
        <w:jc w:val="both"/>
        <w:rPr>
          <w:rFonts w:ascii="Times New Roman" w:hAnsi="Times New Roman"/>
          <w:sz w:val="20"/>
          <w:szCs w:val="20"/>
        </w:rPr>
      </w:pPr>
      <w:r w:rsidRPr="002A69C4">
        <w:rPr>
          <w:rFonts w:ascii="Times New Roman" w:hAnsi="Times New Roman"/>
          <w:sz w:val="20"/>
          <w:szCs w:val="20"/>
        </w:rPr>
        <w:t xml:space="preserve">YF240OD fluid (4.123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combined with 12/18 mesh produces a fracture length (</w:t>
      </w:r>
      <w:proofErr w:type="spellStart"/>
      <w:r w:rsidRPr="002A69C4">
        <w:rPr>
          <w:rFonts w:ascii="Times New Roman" w:hAnsi="Times New Roman"/>
          <w:sz w:val="20"/>
          <w:szCs w:val="20"/>
        </w:rPr>
        <w:t>Xf</w:t>
      </w:r>
      <w:proofErr w:type="spellEnd"/>
      <w:r w:rsidRPr="002A69C4">
        <w:rPr>
          <w:rFonts w:ascii="Times New Roman" w:hAnsi="Times New Roman"/>
          <w:sz w:val="20"/>
          <w:szCs w:val="20"/>
        </w:rPr>
        <w:t xml:space="preserve">) of 435.5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height (</w:t>
      </w:r>
      <w:proofErr w:type="spellStart"/>
      <w:r w:rsidRPr="002A69C4">
        <w:rPr>
          <w:rFonts w:ascii="Times New Roman" w:hAnsi="Times New Roman"/>
          <w:sz w:val="20"/>
          <w:szCs w:val="20"/>
        </w:rPr>
        <w:t>hf</w:t>
      </w:r>
      <w:proofErr w:type="spellEnd"/>
      <w:r w:rsidRPr="002A69C4">
        <w:rPr>
          <w:rFonts w:ascii="Times New Roman" w:hAnsi="Times New Roman"/>
          <w:sz w:val="20"/>
          <w:szCs w:val="20"/>
        </w:rPr>
        <w:t xml:space="preserve">) of 15.7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width (w) of 0.5533 inch, and conductivity (</w:t>
      </w:r>
      <w:proofErr w:type="spellStart"/>
      <w:r w:rsidRPr="002A69C4">
        <w:rPr>
          <w:rFonts w:ascii="Times New Roman" w:hAnsi="Times New Roman"/>
          <w:sz w:val="20"/>
          <w:szCs w:val="20"/>
        </w:rPr>
        <w:t>wkf</w:t>
      </w:r>
      <w:proofErr w:type="spellEnd"/>
      <w:r w:rsidRPr="002A69C4">
        <w:rPr>
          <w:rFonts w:ascii="Times New Roman" w:hAnsi="Times New Roman"/>
          <w:sz w:val="20"/>
          <w:szCs w:val="20"/>
        </w:rPr>
        <w:t xml:space="preserve">) ) of 822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w:t>
      </w:r>
    </w:p>
    <w:p w:rsidR="002A69C4" w:rsidRPr="002A69C4" w:rsidRDefault="002A69C4" w:rsidP="002A69C4">
      <w:pPr>
        <w:pStyle w:val="ListParagraph"/>
        <w:numPr>
          <w:ilvl w:val="0"/>
          <w:numId w:val="7"/>
        </w:numPr>
        <w:spacing w:after="160" w:line="240" w:lineRule="auto"/>
        <w:ind w:left="284" w:hanging="284"/>
        <w:jc w:val="both"/>
        <w:rPr>
          <w:rFonts w:ascii="Times New Roman" w:hAnsi="Times New Roman"/>
          <w:sz w:val="20"/>
          <w:szCs w:val="20"/>
        </w:rPr>
      </w:pPr>
      <w:r w:rsidRPr="002A69C4">
        <w:rPr>
          <w:rFonts w:ascii="Times New Roman" w:hAnsi="Times New Roman"/>
          <w:sz w:val="20"/>
          <w:szCs w:val="20"/>
        </w:rPr>
        <w:t xml:space="preserve">YF240OD fluid (4.123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combined with 16/20 mesh produces a fracture length (</w:t>
      </w:r>
      <w:proofErr w:type="spellStart"/>
      <w:r w:rsidRPr="002A69C4">
        <w:rPr>
          <w:rFonts w:ascii="Times New Roman" w:hAnsi="Times New Roman"/>
          <w:sz w:val="20"/>
          <w:szCs w:val="20"/>
        </w:rPr>
        <w:t>Xf</w:t>
      </w:r>
      <w:proofErr w:type="spellEnd"/>
      <w:r w:rsidRPr="002A69C4">
        <w:rPr>
          <w:rFonts w:ascii="Times New Roman" w:hAnsi="Times New Roman"/>
          <w:sz w:val="20"/>
          <w:szCs w:val="20"/>
        </w:rPr>
        <w:t xml:space="preserve">) of 435.5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height (</w:t>
      </w:r>
      <w:proofErr w:type="spellStart"/>
      <w:r w:rsidRPr="002A69C4">
        <w:rPr>
          <w:rFonts w:ascii="Times New Roman" w:hAnsi="Times New Roman"/>
          <w:sz w:val="20"/>
          <w:szCs w:val="20"/>
        </w:rPr>
        <w:t>hf</w:t>
      </w:r>
      <w:proofErr w:type="spellEnd"/>
      <w:r w:rsidRPr="002A69C4">
        <w:rPr>
          <w:rFonts w:ascii="Times New Roman" w:hAnsi="Times New Roman"/>
          <w:sz w:val="20"/>
          <w:szCs w:val="20"/>
        </w:rPr>
        <w:t xml:space="preserve">) of 15.7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width (w) of 0.5533 inch, and conductivity (</w:t>
      </w:r>
      <w:proofErr w:type="spellStart"/>
      <w:r w:rsidRPr="002A69C4">
        <w:rPr>
          <w:rFonts w:ascii="Times New Roman" w:hAnsi="Times New Roman"/>
          <w:sz w:val="20"/>
          <w:szCs w:val="20"/>
        </w:rPr>
        <w:t>wkf</w:t>
      </w:r>
      <w:proofErr w:type="spellEnd"/>
      <w:r w:rsidRPr="002A69C4">
        <w:rPr>
          <w:rFonts w:ascii="Times New Roman" w:hAnsi="Times New Roman"/>
          <w:sz w:val="20"/>
          <w:szCs w:val="20"/>
        </w:rPr>
        <w:t xml:space="preserve">) ) of 2957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w:t>
      </w:r>
    </w:p>
    <w:p w:rsidR="002A69C4" w:rsidRPr="002A69C4" w:rsidRDefault="002A69C4" w:rsidP="002A69C4">
      <w:pPr>
        <w:pStyle w:val="ListParagraph"/>
        <w:numPr>
          <w:ilvl w:val="0"/>
          <w:numId w:val="7"/>
        </w:numPr>
        <w:spacing w:after="160" w:line="240" w:lineRule="auto"/>
        <w:ind w:left="284" w:hanging="284"/>
        <w:jc w:val="both"/>
        <w:rPr>
          <w:rFonts w:ascii="Times New Roman" w:hAnsi="Times New Roman"/>
          <w:sz w:val="20"/>
          <w:szCs w:val="20"/>
        </w:rPr>
      </w:pPr>
      <w:r w:rsidRPr="002A69C4">
        <w:rPr>
          <w:rFonts w:ascii="Times New Roman" w:hAnsi="Times New Roman"/>
          <w:sz w:val="20"/>
          <w:szCs w:val="20"/>
        </w:rPr>
        <w:t xml:space="preserve">YF240OD fluid (4,123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combined with 20/40 mesh produces a fracture length (</w:t>
      </w:r>
      <w:proofErr w:type="spellStart"/>
      <w:r w:rsidRPr="002A69C4">
        <w:rPr>
          <w:rFonts w:ascii="Times New Roman" w:hAnsi="Times New Roman"/>
          <w:sz w:val="20"/>
          <w:szCs w:val="20"/>
        </w:rPr>
        <w:t>Xf</w:t>
      </w:r>
      <w:proofErr w:type="spellEnd"/>
      <w:r w:rsidRPr="002A69C4">
        <w:rPr>
          <w:rFonts w:ascii="Times New Roman" w:hAnsi="Times New Roman"/>
          <w:sz w:val="20"/>
          <w:szCs w:val="20"/>
        </w:rPr>
        <w:t xml:space="preserve">) of 435.5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height (</w:t>
      </w:r>
      <w:proofErr w:type="spellStart"/>
      <w:r w:rsidRPr="002A69C4">
        <w:rPr>
          <w:rFonts w:ascii="Times New Roman" w:hAnsi="Times New Roman"/>
          <w:sz w:val="20"/>
          <w:szCs w:val="20"/>
        </w:rPr>
        <w:t>hf</w:t>
      </w:r>
      <w:proofErr w:type="spellEnd"/>
      <w:r w:rsidRPr="002A69C4">
        <w:rPr>
          <w:rFonts w:ascii="Times New Roman" w:hAnsi="Times New Roman"/>
          <w:sz w:val="20"/>
          <w:szCs w:val="20"/>
        </w:rPr>
        <w:t xml:space="preserve">) of 15.7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width (w) of 0.5533 inch, and conductivity (</w:t>
      </w:r>
      <w:proofErr w:type="spellStart"/>
      <w:r w:rsidRPr="002A69C4">
        <w:rPr>
          <w:rFonts w:ascii="Times New Roman" w:hAnsi="Times New Roman"/>
          <w:sz w:val="20"/>
          <w:szCs w:val="20"/>
        </w:rPr>
        <w:t>wkf</w:t>
      </w:r>
      <w:proofErr w:type="spellEnd"/>
      <w:r w:rsidRPr="002A69C4">
        <w:rPr>
          <w:rFonts w:ascii="Times New Roman" w:hAnsi="Times New Roman"/>
          <w:sz w:val="20"/>
          <w:szCs w:val="20"/>
        </w:rPr>
        <w:t xml:space="preserve">) ) of 2407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w:t>
      </w:r>
    </w:p>
    <w:p w:rsidR="002A69C4" w:rsidRPr="002A69C4" w:rsidRDefault="002A69C4" w:rsidP="002A69C4">
      <w:pPr>
        <w:pStyle w:val="ListParagraph"/>
        <w:numPr>
          <w:ilvl w:val="0"/>
          <w:numId w:val="7"/>
        </w:numPr>
        <w:spacing w:after="160" w:line="240" w:lineRule="auto"/>
        <w:ind w:left="284" w:hanging="284"/>
        <w:jc w:val="both"/>
        <w:rPr>
          <w:rFonts w:ascii="Times New Roman" w:hAnsi="Times New Roman"/>
          <w:sz w:val="20"/>
          <w:szCs w:val="20"/>
        </w:rPr>
      </w:pPr>
      <w:r w:rsidRPr="002A69C4">
        <w:rPr>
          <w:rFonts w:ascii="Times New Roman" w:hAnsi="Times New Roman"/>
          <w:sz w:val="20"/>
          <w:szCs w:val="20"/>
        </w:rPr>
        <w:t>PrimeFRAC</w:t>
      </w:r>
      <w:r w:rsidR="00F145BA">
        <w:rPr>
          <w:rFonts w:ascii="Times New Roman" w:hAnsi="Times New Roman"/>
          <w:sz w:val="20"/>
          <w:szCs w:val="20"/>
        </w:rPr>
        <w:t>20</w:t>
      </w:r>
      <w:r w:rsidRPr="002A69C4">
        <w:rPr>
          <w:rFonts w:ascii="Times New Roman" w:hAnsi="Times New Roman"/>
          <w:sz w:val="20"/>
          <w:szCs w:val="20"/>
        </w:rPr>
        <w:t xml:space="preserve"> fluid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combined with 12/18 mesh produces a fracture length (</w:t>
      </w:r>
      <w:proofErr w:type="spellStart"/>
      <w:r w:rsidRPr="002A69C4">
        <w:rPr>
          <w:rFonts w:ascii="Times New Roman" w:hAnsi="Times New Roman"/>
          <w:sz w:val="20"/>
          <w:szCs w:val="20"/>
        </w:rPr>
        <w:t>Xf</w:t>
      </w:r>
      <w:proofErr w:type="spellEnd"/>
      <w:r w:rsidRPr="002A69C4">
        <w:rPr>
          <w:rFonts w:ascii="Times New Roman" w:hAnsi="Times New Roman"/>
          <w:sz w:val="20"/>
          <w:szCs w:val="20"/>
        </w:rPr>
        <w:t xml:space="preserve">) of 322.7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height (</w:t>
      </w:r>
      <w:proofErr w:type="spellStart"/>
      <w:r w:rsidRPr="002A69C4">
        <w:rPr>
          <w:rFonts w:ascii="Times New Roman" w:hAnsi="Times New Roman"/>
          <w:sz w:val="20"/>
          <w:szCs w:val="20"/>
        </w:rPr>
        <w:t>hf</w:t>
      </w:r>
      <w:proofErr w:type="spellEnd"/>
      <w:r w:rsidRPr="002A69C4">
        <w:rPr>
          <w:rFonts w:ascii="Times New Roman" w:hAnsi="Times New Roman"/>
          <w:sz w:val="20"/>
          <w:szCs w:val="20"/>
        </w:rPr>
        <w:t xml:space="preserve">) of 15.7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width (w) of 0.8101 inch, and conductivity (</w:t>
      </w:r>
      <w:proofErr w:type="spellStart"/>
      <w:r w:rsidRPr="002A69C4">
        <w:rPr>
          <w:rFonts w:ascii="Times New Roman" w:hAnsi="Times New Roman"/>
          <w:sz w:val="20"/>
          <w:szCs w:val="20"/>
        </w:rPr>
        <w:t>wkf</w:t>
      </w:r>
      <w:proofErr w:type="spellEnd"/>
      <w:r w:rsidRPr="002A69C4">
        <w:rPr>
          <w:rFonts w:ascii="Times New Roman" w:hAnsi="Times New Roman"/>
          <w:sz w:val="20"/>
          <w:szCs w:val="20"/>
        </w:rPr>
        <w:t xml:space="preserve">) of 1367.9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w:t>
      </w:r>
    </w:p>
    <w:p w:rsidR="002A69C4" w:rsidRPr="002A69C4" w:rsidRDefault="002A69C4" w:rsidP="002A69C4">
      <w:pPr>
        <w:pStyle w:val="ListParagraph"/>
        <w:numPr>
          <w:ilvl w:val="0"/>
          <w:numId w:val="7"/>
        </w:numPr>
        <w:spacing w:after="160" w:line="240" w:lineRule="auto"/>
        <w:ind w:left="284" w:hanging="284"/>
        <w:jc w:val="both"/>
        <w:rPr>
          <w:rFonts w:ascii="Times New Roman" w:hAnsi="Times New Roman"/>
          <w:sz w:val="20"/>
          <w:szCs w:val="20"/>
        </w:rPr>
      </w:pPr>
      <w:r w:rsidRPr="002A69C4">
        <w:rPr>
          <w:rFonts w:ascii="Times New Roman" w:hAnsi="Times New Roman"/>
          <w:sz w:val="20"/>
          <w:szCs w:val="20"/>
        </w:rPr>
        <w:t>PrimeFRAC</w:t>
      </w:r>
      <w:r w:rsidR="00F145BA">
        <w:rPr>
          <w:rFonts w:ascii="Times New Roman" w:hAnsi="Times New Roman"/>
          <w:sz w:val="20"/>
          <w:szCs w:val="20"/>
        </w:rPr>
        <w:t>20</w:t>
      </w:r>
      <w:r w:rsidRPr="002A69C4">
        <w:rPr>
          <w:rFonts w:ascii="Times New Roman" w:hAnsi="Times New Roman"/>
          <w:sz w:val="20"/>
          <w:szCs w:val="20"/>
        </w:rPr>
        <w:t xml:space="preserve"> fluid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combined with 16/20 mesh produces a fracture length (</w:t>
      </w:r>
      <w:proofErr w:type="spellStart"/>
      <w:r w:rsidRPr="002A69C4">
        <w:rPr>
          <w:rFonts w:ascii="Times New Roman" w:hAnsi="Times New Roman"/>
          <w:sz w:val="20"/>
          <w:szCs w:val="20"/>
        </w:rPr>
        <w:t>Xf</w:t>
      </w:r>
      <w:proofErr w:type="spellEnd"/>
      <w:r w:rsidRPr="002A69C4">
        <w:rPr>
          <w:rFonts w:ascii="Times New Roman" w:hAnsi="Times New Roman"/>
          <w:sz w:val="20"/>
          <w:szCs w:val="20"/>
        </w:rPr>
        <w:t xml:space="preserve">) of 322.7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height (</w:t>
      </w:r>
      <w:proofErr w:type="spellStart"/>
      <w:r w:rsidRPr="002A69C4">
        <w:rPr>
          <w:rFonts w:ascii="Times New Roman" w:hAnsi="Times New Roman"/>
          <w:sz w:val="20"/>
          <w:szCs w:val="20"/>
        </w:rPr>
        <w:t>hf</w:t>
      </w:r>
      <w:proofErr w:type="spellEnd"/>
      <w:r w:rsidRPr="002A69C4">
        <w:rPr>
          <w:rFonts w:ascii="Times New Roman" w:hAnsi="Times New Roman"/>
          <w:sz w:val="20"/>
          <w:szCs w:val="20"/>
        </w:rPr>
        <w:t xml:space="preserve">) of 15.7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width (w) of 0.8101 inch, and conductivity (</w:t>
      </w:r>
      <w:proofErr w:type="spellStart"/>
      <w:r w:rsidRPr="002A69C4">
        <w:rPr>
          <w:rFonts w:ascii="Times New Roman" w:hAnsi="Times New Roman"/>
          <w:sz w:val="20"/>
          <w:szCs w:val="20"/>
        </w:rPr>
        <w:t>wkf</w:t>
      </w:r>
      <w:proofErr w:type="spellEnd"/>
      <w:r w:rsidRPr="002A69C4">
        <w:rPr>
          <w:rFonts w:ascii="Times New Roman" w:hAnsi="Times New Roman"/>
          <w:sz w:val="20"/>
          <w:szCs w:val="20"/>
        </w:rPr>
        <w:t xml:space="preserve">) of 3805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w:t>
      </w:r>
    </w:p>
    <w:p w:rsidR="002A69C4" w:rsidRPr="002A69C4" w:rsidRDefault="002A69C4" w:rsidP="002A69C4">
      <w:pPr>
        <w:pStyle w:val="ListParagraph"/>
        <w:numPr>
          <w:ilvl w:val="0"/>
          <w:numId w:val="7"/>
        </w:numPr>
        <w:spacing w:after="160" w:line="240" w:lineRule="auto"/>
        <w:ind w:left="284" w:hanging="284"/>
        <w:jc w:val="both"/>
        <w:rPr>
          <w:rFonts w:ascii="Times New Roman" w:hAnsi="Times New Roman"/>
          <w:sz w:val="20"/>
          <w:szCs w:val="20"/>
        </w:rPr>
      </w:pPr>
      <w:r w:rsidRPr="002A69C4">
        <w:rPr>
          <w:rFonts w:ascii="Times New Roman" w:hAnsi="Times New Roman"/>
          <w:sz w:val="20"/>
          <w:szCs w:val="20"/>
        </w:rPr>
        <w:t>PrimeFRAC</w:t>
      </w:r>
      <w:r w:rsidR="00F145BA">
        <w:rPr>
          <w:rFonts w:ascii="Times New Roman" w:hAnsi="Times New Roman"/>
          <w:sz w:val="20"/>
          <w:szCs w:val="20"/>
        </w:rPr>
        <w:t>20</w:t>
      </w:r>
      <w:r w:rsidRPr="002A69C4">
        <w:rPr>
          <w:rFonts w:ascii="Times New Roman" w:hAnsi="Times New Roman"/>
          <w:sz w:val="20"/>
          <w:szCs w:val="20"/>
        </w:rPr>
        <w:t xml:space="preserve"> fluid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combined with 20/40 mesh results in fracture length (</w:t>
      </w:r>
      <w:proofErr w:type="spellStart"/>
      <w:r w:rsidRPr="002A69C4">
        <w:rPr>
          <w:rFonts w:ascii="Times New Roman" w:hAnsi="Times New Roman"/>
          <w:sz w:val="20"/>
          <w:szCs w:val="20"/>
        </w:rPr>
        <w:t>Xf</w:t>
      </w:r>
      <w:proofErr w:type="spellEnd"/>
      <w:r w:rsidRPr="002A69C4">
        <w:rPr>
          <w:rFonts w:ascii="Times New Roman" w:hAnsi="Times New Roman"/>
          <w:sz w:val="20"/>
          <w:szCs w:val="20"/>
        </w:rPr>
        <w:t xml:space="preserve">) of 322.7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height (</w:t>
      </w:r>
      <w:proofErr w:type="spellStart"/>
      <w:r w:rsidRPr="002A69C4">
        <w:rPr>
          <w:rFonts w:ascii="Times New Roman" w:hAnsi="Times New Roman"/>
          <w:sz w:val="20"/>
          <w:szCs w:val="20"/>
        </w:rPr>
        <w:t>hf</w:t>
      </w:r>
      <w:proofErr w:type="spellEnd"/>
      <w:r w:rsidRPr="002A69C4">
        <w:rPr>
          <w:rFonts w:ascii="Times New Roman" w:hAnsi="Times New Roman"/>
          <w:sz w:val="20"/>
          <w:szCs w:val="20"/>
        </w:rPr>
        <w:t xml:space="preserve">) of 15.7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fracture width (w) of 0.8101 inch, and conductivity (</w:t>
      </w:r>
      <w:proofErr w:type="spellStart"/>
      <w:r w:rsidRPr="002A69C4">
        <w:rPr>
          <w:rFonts w:ascii="Times New Roman" w:hAnsi="Times New Roman"/>
          <w:sz w:val="20"/>
          <w:szCs w:val="20"/>
        </w:rPr>
        <w:t>wkf</w:t>
      </w:r>
      <w:proofErr w:type="spellEnd"/>
      <w:r w:rsidRPr="002A69C4">
        <w:rPr>
          <w:rFonts w:ascii="Times New Roman" w:hAnsi="Times New Roman"/>
          <w:sz w:val="20"/>
          <w:szCs w:val="20"/>
        </w:rPr>
        <w:t xml:space="preserve">) of 3097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w:t>
      </w:r>
    </w:p>
    <w:p w:rsidR="002A69C4" w:rsidRPr="002A69C4" w:rsidRDefault="002A69C4" w:rsidP="002A69C4">
      <w:pPr>
        <w:spacing w:line="240" w:lineRule="auto"/>
        <w:jc w:val="both"/>
        <w:rPr>
          <w:rFonts w:ascii="Times New Roman" w:hAnsi="Times New Roman"/>
          <w:sz w:val="20"/>
          <w:szCs w:val="20"/>
        </w:rPr>
      </w:pPr>
      <w:r w:rsidRPr="002A69C4">
        <w:rPr>
          <w:rFonts w:ascii="Times New Roman" w:hAnsi="Times New Roman"/>
          <w:sz w:val="20"/>
          <w:szCs w:val="20"/>
        </w:rPr>
        <w:t xml:space="preserve">Then the calculation of the comparison of the productivity index after hydraulic fracturing (FOI) using the McGuire &amp; </w:t>
      </w:r>
      <w:proofErr w:type="spellStart"/>
      <w:r w:rsidRPr="002A69C4">
        <w:rPr>
          <w:rFonts w:ascii="Times New Roman" w:hAnsi="Times New Roman"/>
          <w:sz w:val="20"/>
          <w:szCs w:val="20"/>
        </w:rPr>
        <w:t>Sikora</w:t>
      </w:r>
      <w:proofErr w:type="spellEnd"/>
      <w:r w:rsidRPr="002A69C4">
        <w:rPr>
          <w:rFonts w:ascii="Times New Roman" w:hAnsi="Times New Roman"/>
          <w:sz w:val="20"/>
          <w:szCs w:val="20"/>
        </w:rPr>
        <w:t xml:space="preserve"> method, </w:t>
      </w:r>
      <w:proofErr w:type="spellStart"/>
      <w:r w:rsidRPr="002A69C4">
        <w:rPr>
          <w:rFonts w:ascii="Times New Roman" w:hAnsi="Times New Roman"/>
          <w:sz w:val="20"/>
          <w:szCs w:val="20"/>
        </w:rPr>
        <w:t>Cinco</w:t>
      </w:r>
      <w:proofErr w:type="spellEnd"/>
      <w:r w:rsidRPr="002A69C4">
        <w:rPr>
          <w:rFonts w:ascii="Times New Roman" w:hAnsi="Times New Roman"/>
          <w:sz w:val="20"/>
          <w:szCs w:val="20"/>
        </w:rPr>
        <w:t xml:space="preserve"> ley-</w:t>
      </w:r>
      <w:proofErr w:type="spellStart"/>
      <w:r w:rsidRPr="002A69C4">
        <w:rPr>
          <w:rFonts w:ascii="Times New Roman" w:hAnsi="Times New Roman"/>
          <w:sz w:val="20"/>
          <w:szCs w:val="20"/>
        </w:rPr>
        <w:t>Samaniego</w:t>
      </w:r>
      <w:proofErr w:type="spellEnd"/>
      <w:r w:rsidRPr="002A69C4">
        <w:rPr>
          <w:rFonts w:ascii="Times New Roman" w:hAnsi="Times New Roman"/>
          <w:sz w:val="20"/>
          <w:szCs w:val="20"/>
        </w:rPr>
        <w:t xml:space="preserve"> method, and the Tinsley &amp; </w:t>
      </w:r>
      <w:proofErr w:type="spellStart"/>
      <w:r w:rsidRPr="002A69C4">
        <w:rPr>
          <w:rFonts w:ascii="Times New Roman" w:hAnsi="Times New Roman"/>
          <w:sz w:val="20"/>
          <w:szCs w:val="20"/>
        </w:rPr>
        <w:t>Soliman</w:t>
      </w:r>
      <w:proofErr w:type="spellEnd"/>
      <w:r w:rsidRPr="002A69C4">
        <w:rPr>
          <w:rFonts w:ascii="Times New Roman" w:hAnsi="Times New Roman"/>
          <w:sz w:val="20"/>
          <w:szCs w:val="20"/>
        </w:rPr>
        <w:t xml:space="preserve"> method. The results of calculations using the McGuire &amp; </w:t>
      </w:r>
      <w:proofErr w:type="spellStart"/>
      <w:r w:rsidRPr="002A69C4">
        <w:rPr>
          <w:rFonts w:ascii="Times New Roman" w:hAnsi="Times New Roman"/>
          <w:sz w:val="20"/>
          <w:szCs w:val="20"/>
        </w:rPr>
        <w:t>Sikora</w:t>
      </w:r>
      <w:proofErr w:type="spellEnd"/>
      <w:r w:rsidRPr="002A69C4">
        <w:rPr>
          <w:rFonts w:ascii="Times New Roman" w:hAnsi="Times New Roman"/>
          <w:sz w:val="20"/>
          <w:szCs w:val="20"/>
        </w:rPr>
        <w:t xml:space="preserve"> method </w:t>
      </w:r>
      <w:r w:rsidR="00A327A8" w:rsidRPr="00A327A8">
        <w:rPr>
          <w:rFonts w:ascii="Times New Roman" w:hAnsi="Times New Roman"/>
          <w:b/>
          <w:sz w:val="20"/>
          <w:szCs w:val="20"/>
          <w:lang w:val="id-ID"/>
        </w:rPr>
        <w:t>(</w:t>
      </w:r>
      <w:r w:rsidR="00D96D54" w:rsidRPr="00D96D54">
        <w:rPr>
          <w:rFonts w:ascii="Times New Roman" w:hAnsi="Times New Roman"/>
          <w:b/>
          <w:sz w:val="20"/>
          <w:szCs w:val="20"/>
          <w:lang w:val="id-ID"/>
        </w:rPr>
        <w:t>Figure</w:t>
      </w:r>
      <w:r w:rsidR="00A327A8" w:rsidRPr="00A327A8">
        <w:rPr>
          <w:rFonts w:ascii="Times New Roman" w:hAnsi="Times New Roman"/>
          <w:b/>
          <w:sz w:val="20"/>
          <w:szCs w:val="20"/>
          <w:lang w:val="id-ID"/>
        </w:rPr>
        <w:t xml:space="preserve"> 2)</w:t>
      </w:r>
      <w:r w:rsidR="00A327A8">
        <w:rPr>
          <w:rFonts w:ascii="Times New Roman" w:hAnsi="Times New Roman"/>
          <w:sz w:val="20"/>
          <w:szCs w:val="20"/>
          <w:lang w:val="id-ID"/>
        </w:rPr>
        <w:t xml:space="preserve"> </w:t>
      </w:r>
      <w:r w:rsidRPr="002A69C4">
        <w:rPr>
          <w:rFonts w:ascii="Times New Roman" w:hAnsi="Times New Roman"/>
          <w:sz w:val="20"/>
          <w:szCs w:val="20"/>
        </w:rPr>
        <w:t xml:space="preserve">are 2.06, 3.38, and 3.21 for the viscosity fluid of 4.123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with mesh sizes are 12/18, 16/20 and 20/40, the FOI value are 2.49, 4.5 and 3.42 for the viscosity fluid of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with mesh sizes are 12/18, 16/20 and 20/40. The results of calculations using the </w:t>
      </w:r>
      <w:proofErr w:type="spellStart"/>
      <w:r w:rsidRPr="002A69C4">
        <w:rPr>
          <w:rFonts w:ascii="Times New Roman" w:hAnsi="Times New Roman"/>
          <w:sz w:val="20"/>
          <w:szCs w:val="20"/>
        </w:rPr>
        <w:t>Cinco</w:t>
      </w:r>
      <w:proofErr w:type="spellEnd"/>
      <w:r w:rsidRPr="002A69C4">
        <w:rPr>
          <w:rFonts w:ascii="Times New Roman" w:hAnsi="Times New Roman"/>
          <w:sz w:val="20"/>
          <w:szCs w:val="20"/>
        </w:rPr>
        <w:t xml:space="preserve"> ley-</w:t>
      </w:r>
      <w:proofErr w:type="spellStart"/>
      <w:r w:rsidRPr="002A69C4">
        <w:rPr>
          <w:rFonts w:ascii="Times New Roman" w:hAnsi="Times New Roman"/>
          <w:sz w:val="20"/>
          <w:szCs w:val="20"/>
        </w:rPr>
        <w:t>Samaniego</w:t>
      </w:r>
      <w:proofErr w:type="spellEnd"/>
      <w:r w:rsidRPr="002A69C4">
        <w:rPr>
          <w:rFonts w:ascii="Times New Roman" w:hAnsi="Times New Roman"/>
          <w:sz w:val="20"/>
          <w:szCs w:val="20"/>
        </w:rPr>
        <w:t xml:space="preserve"> method </w:t>
      </w:r>
      <w:r w:rsidR="00A327A8" w:rsidRPr="00A327A8">
        <w:rPr>
          <w:rFonts w:ascii="Times New Roman" w:hAnsi="Times New Roman"/>
          <w:b/>
          <w:sz w:val="20"/>
          <w:szCs w:val="20"/>
          <w:lang w:val="id-ID"/>
        </w:rPr>
        <w:t>(</w:t>
      </w:r>
      <w:r w:rsidR="00D96D54" w:rsidRPr="00D96D54">
        <w:rPr>
          <w:rFonts w:ascii="Times New Roman" w:hAnsi="Times New Roman"/>
          <w:b/>
          <w:sz w:val="20"/>
          <w:szCs w:val="20"/>
          <w:lang w:val="id-ID"/>
        </w:rPr>
        <w:t>Figure</w:t>
      </w:r>
      <w:r w:rsidR="00A327A8">
        <w:rPr>
          <w:rFonts w:ascii="Times New Roman" w:hAnsi="Times New Roman"/>
          <w:b/>
          <w:sz w:val="20"/>
          <w:szCs w:val="20"/>
          <w:lang w:val="id-ID"/>
        </w:rPr>
        <w:t xml:space="preserve"> 3</w:t>
      </w:r>
      <w:r w:rsidR="00A327A8" w:rsidRPr="00A327A8">
        <w:rPr>
          <w:rFonts w:ascii="Times New Roman" w:hAnsi="Times New Roman"/>
          <w:b/>
          <w:sz w:val="20"/>
          <w:szCs w:val="20"/>
          <w:lang w:val="id-ID"/>
        </w:rPr>
        <w:t>)</w:t>
      </w:r>
      <w:r w:rsidR="00A327A8">
        <w:rPr>
          <w:rFonts w:ascii="Times New Roman" w:hAnsi="Times New Roman"/>
          <w:b/>
          <w:sz w:val="20"/>
          <w:szCs w:val="20"/>
          <w:lang w:val="id-ID"/>
        </w:rPr>
        <w:t xml:space="preserve"> </w:t>
      </w:r>
      <w:r w:rsidRPr="002A69C4">
        <w:rPr>
          <w:rFonts w:ascii="Times New Roman" w:hAnsi="Times New Roman"/>
          <w:sz w:val="20"/>
          <w:szCs w:val="20"/>
        </w:rPr>
        <w:t xml:space="preserve">are 4.02, 5.77, and 4.86 for the viscosity fluid of 4.123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with mesh sizes are 12/18, 16/20 and 20/40, and FOI value of 4.09, 6.25 and 5.18 for the viscosity fluid of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with mesh </w:t>
      </w:r>
      <w:proofErr w:type="spellStart"/>
      <w:r w:rsidRPr="002A69C4">
        <w:rPr>
          <w:rFonts w:ascii="Times New Roman" w:hAnsi="Times New Roman"/>
          <w:sz w:val="20"/>
          <w:szCs w:val="20"/>
        </w:rPr>
        <w:t>sizez</w:t>
      </w:r>
      <w:proofErr w:type="spellEnd"/>
      <w:r w:rsidRPr="002A69C4">
        <w:rPr>
          <w:rFonts w:ascii="Times New Roman" w:hAnsi="Times New Roman"/>
          <w:sz w:val="20"/>
          <w:szCs w:val="20"/>
        </w:rPr>
        <w:t xml:space="preserve"> are 12/18, 16/20 and 20/40. The results of calculations using the Tinsley &amp; </w:t>
      </w:r>
      <w:proofErr w:type="spellStart"/>
      <w:r w:rsidRPr="002A69C4">
        <w:rPr>
          <w:rFonts w:ascii="Times New Roman" w:hAnsi="Times New Roman"/>
          <w:sz w:val="20"/>
          <w:szCs w:val="20"/>
        </w:rPr>
        <w:t>Soliman</w:t>
      </w:r>
      <w:proofErr w:type="spellEnd"/>
      <w:r w:rsidRPr="002A69C4">
        <w:rPr>
          <w:rFonts w:ascii="Times New Roman" w:hAnsi="Times New Roman"/>
          <w:sz w:val="20"/>
          <w:szCs w:val="20"/>
        </w:rPr>
        <w:t xml:space="preserve"> method </w:t>
      </w:r>
      <w:r w:rsidR="00A327A8" w:rsidRPr="00A327A8">
        <w:rPr>
          <w:rFonts w:ascii="Times New Roman" w:hAnsi="Times New Roman"/>
          <w:b/>
          <w:sz w:val="20"/>
          <w:szCs w:val="20"/>
          <w:lang w:val="id-ID"/>
        </w:rPr>
        <w:t>(</w:t>
      </w:r>
      <w:r w:rsidR="00D96D54" w:rsidRPr="00D96D54">
        <w:rPr>
          <w:rFonts w:ascii="Times New Roman" w:hAnsi="Times New Roman"/>
          <w:b/>
          <w:sz w:val="20"/>
          <w:szCs w:val="20"/>
          <w:lang w:val="id-ID"/>
        </w:rPr>
        <w:t>Figure</w:t>
      </w:r>
      <w:r w:rsidR="00A327A8">
        <w:rPr>
          <w:rFonts w:ascii="Times New Roman" w:hAnsi="Times New Roman"/>
          <w:b/>
          <w:sz w:val="20"/>
          <w:szCs w:val="20"/>
          <w:lang w:val="id-ID"/>
        </w:rPr>
        <w:t xml:space="preserve"> 4</w:t>
      </w:r>
      <w:r w:rsidR="00A327A8" w:rsidRPr="00A327A8">
        <w:rPr>
          <w:rFonts w:ascii="Times New Roman" w:hAnsi="Times New Roman"/>
          <w:b/>
          <w:sz w:val="20"/>
          <w:szCs w:val="20"/>
          <w:lang w:val="id-ID"/>
        </w:rPr>
        <w:t>)</w:t>
      </w:r>
      <w:r w:rsidR="00A327A8">
        <w:rPr>
          <w:rFonts w:ascii="Times New Roman" w:hAnsi="Times New Roman"/>
          <w:b/>
          <w:sz w:val="20"/>
          <w:szCs w:val="20"/>
          <w:lang w:val="id-ID"/>
        </w:rPr>
        <w:t xml:space="preserve"> </w:t>
      </w:r>
      <w:r w:rsidRPr="002A69C4">
        <w:rPr>
          <w:rFonts w:ascii="Times New Roman" w:hAnsi="Times New Roman"/>
          <w:sz w:val="20"/>
          <w:szCs w:val="20"/>
        </w:rPr>
        <w:t xml:space="preserve">are 2.27, 3.59, and 2.49 for the viscosity fluid of 4.123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mesh sizes are 12/18, 16/20 and 20/40, the FOI value are 2.35, 3.77 and 2.62 for the viscosity fluid of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with mesh sizes are 12/18, 16/20 and 20/40. The results of the calculation of the FOI value are shown in Table 7 below.</w:t>
      </w:r>
    </w:p>
    <w:p w:rsidR="002A69C4" w:rsidRPr="00C32A56" w:rsidRDefault="002A69C4" w:rsidP="002A69C4">
      <w:pPr>
        <w:spacing w:line="240" w:lineRule="auto"/>
        <w:jc w:val="center"/>
        <w:rPr>
          <w:rFonts w:ascii="Times New Roman" w:hAnsi="Times New Roman"/>
          <w:b/>
          <w:sz w:val="20"/>
          <w:szCs w:val="20"/>
        </w:rPr>
      </w:pPr>
      <w:r w:rsidRPr="00C32A56">
        <w:rPr>
          <w:rFonts w:ascii="Times New Roman" w:hAnsi="Times New Roman"/>
          <w:b/>
          <w:sz w:val="20"/>
          <w:szCs w:val="20"/>
        </w:rPr>
        <w:t>Table 7. Calculation Results of FOI</w:t>
      </w:r>
    </w:p>
    <w:tbl>
      <w:tblPr>
        <w:tblStyle w:val="TableGrid"/>
        <w:tblW w:w="7226" w:type="dxa"/>
        <w:jc w:val="center"/>
        <w:tblInd w:w="-143" w:type="dxa"/>
        <w:tblLook w:val="04A0" w:firstRow="1" w:lastRow="0" w:firstColumn="1" w:lastColumn="0" w:noHBand="0" w:noVBand="1"/>
      </w:tblPr>
      <w:tblGrid>
        <w:gridCol w:w="1460"/>
        <w:gridCol w:w="1028"/>
        <w:gridCol w:w="1336"/>
        <w:gridCol w:w="1559"/>
        <w:gridCol w:w="1843"/>
      </w:tblGrid>
      <w:tr w:rsidR="002A69C4" w:rsidRPr="002A69C4" w:rsidTr="00F145BA">
        <w:trPr>
          <w:trHeight w:val="961"/>
          <w:jc w:val="center"/>
        </w:trPr>
        <w:tc>
          <w:tcPr>
            <w:tcW w:w="1460" w:type="dxa"/>
            <w:shd w:val="clear" w:color="auto" w:fill="auto"/>
            <w:vAlign w:val="center"/>
          </w:tcPr>
          <w:p w:rsidR="002A69C4" w:rsidRPr="002A69C4" w:rsidRDefault="002A69C4" w:rsidP="002A69C4">
            <w:pPr>
              <w:spacing w:line="240" w:lineRule="auto"/>
              <w:jc w:val="center"/>
              <w:rPr>
                <w:rFonts w:ascii="Times New Roman" w:hAnsi="Times New Roman" w:cs="Times New Roman"/>
                <w:b/>
                <w:sz w:val="20"/>
                <w:szCs w:val="20"/>
              </w:rPr>
            </w:pPr>
            <w:r w:rsidRPr="002A69C4">
              <w:rPr>
                <w:rFonts w:ascii="Times New Roman" w:hAnsi="Times New Roman" w:cs="Times New Roman"/>
                <w:b/>
                <w:sz w:val="20"/>
                <w:szCs w:val="20"/>
              </w:rPr>
              <w:t>Fluid Types</w:t>
            </w:r>
          </w:p>
        </w:tc>
        <w:tc>
          <w:tcPr>
            <w:tcW w:w="1028" w:type="dxa"/>
            <w:shd w:val="clear" w:color="auto" w:fill="auto"/>
            <w:vAlign w:val="center"/>
          </w:tcPr>
          <w:p w:rsidR="002A69C4" w:rsidRPr="002A69C4" w:rsidRDefault="002A69C4" w:rsidP="00F145BA">
            <w:pPr>
              <w:spacing w:line="240" w:lineRule="auto"/>
              <w:jc w:val="center"/>
              <w:rPr>
                <w:rFonts w:ascii="Times New Roman" w:hAnsi="Times New Roman" w:cs="Times New Roman"/>
                <w:b/>
                <w:sz w:val="20"/>
                <w:szCs w:val="20"/>
              </w:rPr>
            </w:pPr>
            <w:r w:rsidRPr="002A69C4">
              <w:rPr>
                <w:rFonts w:ascii="Times New Roman" w:hAnsi="Times New Roman" w:cs="Times New Roman"/>
                <w:b/>
                <w:iCs/>
                <w:sz w:val="20"/>
                <w:szCs w:val="20"/>
              </w:rPr>
              <w:t>Proppant Size</w:t>
            </w:r>
            <w:r w:rsidRPr="002A69C4">
              <w:rPr>
                <w:rFonts w:ascii="Times New Roman" w:hAnsi="Times New Roman" w:cs="Times New Roman"/>
                <w:b/>
                <w:sz w:val="20"/>
                <w:szCs w:val="20"/>
              </w:rPr>
              <w:t xml:space="preserve">, </w:t>
            </w:r>
            <w:r w:rsidRPr="002A69C4">
              <w:rPr>
                <w:rFonts w:ascii="Times New Roman" w:hAnsi="Times New Roman" w:cs="Times New Roman"/>
                <w:b/>
                <w:iCs/>
                <w:sz w:val="20"/>
                <w:szCs w:val="20"/>
              </w:rPr>
              <w:t>Mesh</w:t>
            </w:r>
          </w:p>
        </w:tc>
        <w:tc>
          <w:tcPr>
            <w:tcW w:w="1336" w:type="dxa"/>
            <w:shd w:val="clear" w:color="auto" w:fill="auto"/>
            <w:vAlign w:val="center"/>
          </w:tcPr>
          <w:p w:rsidR="002A69C4" w:rsidRPr="002A69C4" w:rsidRDefault="002A69C4" w:rsidP="00F145BA">
            <w:pPr>
              <w:spacing w:line="240" w:lineRule="auto"/>
              <w:jc w:val="center"/>
              <w:rPr>
                <w:rFonts w:ascii="Times New Roman" w:hAnsi="Times New Roman" w:cs="Times New Roman"/>
                <w:b/>
                <w:sz w:val="20"/>
                <w:szCs w:val="20"/>
              </w:rPr>
            </w:pPr>
            <w:r w:rsidRPr="002A69C4">
              <w:rPr>
                <w:rFonts w:ascii="Times New Roman" w:hAnsi="Times New Roman" w:cs="Times New Roman"/>
                <w:b/>
                <w:iCs/>
                <w:sz w:val="20"/>
                <w:szCs w:val="20"/>
              </w:rPr>
              <w:t>McGuire &amp; Sikora</w:t>
            </w:r>
            <w:r w:rsidRPr="002A69C4">
              <w:rPr>
                <w:rFonts w:ascii="Times New Roman" w:hAnsi="Times New Roman" w:cs="Times New Roman"/>
                <w:b/>
                <w:sz w:val="20"/>
                <w:szCs w:val="20"/>
              </w:rPr>
              <w:t xml:space="preserve"> Method (1960)</w:t>
            </w:r>
          </w:p>
        </w:tc>
        <w:tc>
          <w:tcPr>
            <w:tcW w:w="1559" w:type="dxa"/>
            <w:shd w:val="clear" w:color="auto" w:fill="auto"/>
            <w:vAlign w:val="center"/>
          </w:tcPr>
          <w:p w:rsidR="002A69C4" w:rsidRPr="002A69C4" w:rsidRDefault="002A69C4" w:rsidP="00F145BA">
            <w:pPr>
              <w:spacing w:line="240" w:lineRule="auto"/>
              <w:jc w:val="center"/>
              <w:rPr>
                <w:rFonts w:ascii="Times New Roman" w:hAnsi="Times New Roman" w:cs="Times New Roman"/>
                <w:b/>
                <w:sz w:val="20"/>
                <w:szCs w:val="20"/>
              </w:rPr>
            </w:pPr>
            <w:r w:rsidRPr="002A69C4">
              <w:rPr>
                <w:rFonts w:ascii="Times New Roman" w:hAnsi="Times New Roman" w:cs="Times New Roman"/>
                <w:b/>
                <w:sz w:val="20"/>
                <w:szCs w:val="20"/>
              </w:rPr>
              <w:t xml:space="preserve">Metode </w:t>
            </w:r>
            <w:r w:rsidRPr="002A69C4">
              <w:rPr>
                <w:rFonts w:ascii="Times New Roman" w:hAnsi="Times New Roman" w:cs="Times New Roman"/>
                <w:b/>
                <w:iCs/>
                <w:sz w:val="20"/>
                <w:szCs w:val="20"/>
              </w:rPr>
              <w:t xml:space="preserve">Cinco ley-Samaniego </w:t>
            </w:r>
            <w:r w:rsidRPr="002A69C4">
              <w:rPr>
                <w:rFonts w:ascii="Times New Roman" w:hAnsi="Times New Roman" w:cs="Times New Roman"/>
                <w:b/>
                <w:sz w:val="20"/>
                <w:szCs w:val="20"/>
              </w:rPr>
              <w:t>Method (1981)</w:t>
            </w:r>
          </w:p>
        </w:tc>
        <w:tc>
          <w:tcPr>
            <w:tcW w:w="1843" w:type="dxa"/>
            <w:shd w:val="clear" w:color="auto" w:fill="auto"/>
            <w:vAlign w:val="center"/>
          </w:tcPr>
          <w:p w:rsidR="002A69C4" w:rsidRPr="002A69C4" w:rsidRDefault="002A69C4" w:rsidP="00F145BA">
            <w:pPr>
              <w:spacing w:line="240" w:lineRule="auto"/>
              <w:jc w:val="center"/>
              <w:rPr>
                <w:rFonts w:ascii="Times New Roman" w:hAnsi="Times New Roman" w:cs="Times New Roman"/>
                <w:b/>
                <w:sz w:val="20"/>
                <w:szCs w:val="20"/>
              </w:rPr>
            </w:pPr>
            <w:r w:rsidRPr="002A69C4">
              <w:rPr>
                <w:rFonts w:ascii="Times New Roman" w:hAnsi="Times New Roman" w:cs="Times New Roman"/>
                <w:b/>
                <w:sz w:val="20"/>
                <w:szCs w:val="20"/>
              </w:rPr>
              <w:t xml:space="preserve">Metode </w:t>
            </w:r>
            <w:r w:rsidRPr="002A69C4">
              <w:rPr>
                <w:rFonts w:ascii="Times New Roman" w:hAnsi="Times New Roman" w:cs="Times New Roman"/>
                <w:b/>
                <w:iCs/>
                <w:sz w:val="20"/>
                <w:szCs w:val="20"/>
              </w:rPr>
              <w:t xml:space="preserve">Tinsley &amp; Soliman </w:t>
            </w:r>
            <w:r w:rsidRPr="002A69C4">
              <w:rPr>
                <w:rFonts w:ascii="Times New Roman" w:hAnsi="Times New Roman" w:cs="Times New Roman"/>
                <w:b/>
                <w:sz w:val="20"/>
                <w:szCs w:val="20"/>
              </w:rPr>
              <w:t>Method</w:t>
            </w:r>
          </w:p>
        </w:tc>
      </w:tr>
      <w:tr w:rsidR="002A69C4" w:rsidRPr="002A69C4" w:rsidTr="00F145BA">
        <w:trPr>
          <w:trHeight w:val="210"/>
          <w:jc w:val="center"/>
        </w:trPr>
        <w:tc>
          <w:tcPr>
            <w:tcW w:w="1460" w:type="dxa"/>
            <w:vMerge w:val="restart"/>
            <w:shd w:val="clear" w:color="auto" w:fill="auto"/>
            <w:vAlign w:val="center"/>
          </w:tcPr>
          <w:p w:rsidR="002A69C4" w:rsidRPr="002A69C4" w:rsidRDefault="002A69C4" w:rsidP="002A69C4">
            <w:pPr>
              <w:spacing w:line="240" w:lineRule="auto"/>
              <w:jc w:val="center"/>
              <w:rPr>
                <w:rFonts w:ascii="Times New Roman" w:hAnsi="Times New Roman" w:cs="Times New Roman"/>
                <w:bCs/>
                <w:sz w:val="20"/>
                <w:szCs w:val="20"/>
              </w:rPr>
            </w:pPr>
            <w:r w:rsidRPr="002A69C4">
              <w:rPr>
                <w:rFonts w:ascii="Times New Roman" w:hAnsi="Times New Roman" w:cs="Times New Roman"/>
                <w:bCs/>
                <w:iCs/>
                <w:sz w:val="20"/>
                <w:szCs w:val="20"/>
              </w:rPr>
              <w:t>YF240OD</w:t>
            </w:r>
          </w:p>
        </w:tc>
        <w:tc>
          <w:tcPr>
            <w:tcW w:w="1028"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12/18</w:t>
            </w:r>
          </w:p>
        </w:tc>
        <w:tc>
          <w:tcPr>
            <w:tcW w:w="1336"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2.06</w:t>
            </w:r>
          </w:p>
        </w:tc>
        <w:tc>
          <w:tcPr>
            <w:tcW w:w="1559"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4.02</w:t>
            </w:r>
          </w:p>
        </w:tc>
        <w:tc>
          <w:tcPr>
            <w:tcW w:w="1843"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2.27</w:t>
            </w:r>
          </w:p>
        </w:tc>
      </w:tr>
      <w:tr w:rsidR="002A69C4" w:rsidRPr="002A69C4" w:rsidTr="00F145BA">
        <w:trPr>
          <w:trHeight w:val="210"/>
          <w:jc w:val="center"/>
        </w:trPr>
        <w:tc>
          <w:tcPr>
            <w:tcW w:w="1460" w:type="dxa"/>
            <w:vMerge/>
            <w:shd w:val="clear" w:color="auto" w:fill="auto"/>
            <w:vAlign w:val="center"/>
          </w:tcPr>
          <w:p w:rsidR="002A69C4" w:rsidRPr="002A69C4" w:rsidRDefault="002A69C4" w:rsidP="002A69C4">
            <w:pPr>
              <w:spacing w:line="240" w:lineRule="auto"/>
              <w:jc w:val="center"/>
              <w:rPr>
                <w:rFonts w:ascii="Times New Roman" w:hAnsi="Times New Roman" w:cs="Times New Roman"/>
                <w:bCs/>
                <w:sz w:val="20"/>
                <w:szCs w:val="20"/>
              </w:rPr>
            </w:pPr>
          </w:p>
        </w:tc>
        <w:tc>
          <w:tcPr>
            <w:tcW w:w="1028"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16/20</w:t>
            </w:r>
          </w:p>
        </w:tc>
        <w:tc>
          <w:tcPr>
            <w:tcW w:w="1336"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3.38</w:t>
            </w:r>
          </w:p>
        </w:tc>
        <w:tc>
          <w:tcPr>
            <w:tcW w:w="1559"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5.77</w:t>
            </w:r>
          </w:p>
        </w:tc>
        <w:tc>
          <w:tcPr>
            <w:tcW w:w="1843"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3.59</w:t>
            </w:r>
          </w:p>
        </w:tc>
      </w:tr>
      <w:tr w:rsidR="002A69C4" w:rsidRPr="002A69C4" w:rsidTr="00F145BA">
        <w:trPr>
          <w:trHeight w:val="221"/>
          <w:jc w:val="center"/>
        </w:trPr>
        <w:tc>
          <w:tcPr>
            <w:tcW w:w="1460" w:type="dxa"/>
            <w:vMerge/>
            <w:shd w:val="clear" w:color="auto" w:fill="auto"/>
            <w:vAlign w:val="center"/>
          </w:tcPr>
          <w:p w:rsidR="002A69C4" w:rsidRPr="002A69C4" w:rsidRDefault="002A69C4" w:rsidP="002A69C4">
            <w:pPr>
              <w:spacing w:line="240" w:lineRule="auto"/>
              <w:jc w:val="center"/>
              <w:rPr>
                <w:rFonts w:ascii="Times New Roman" w:hAnsi="Times New Roman" w:cs="Times New Roman"/>
                <w:bCs/>
                <w:sz w:val="20"/>
                <w:szCs w:val="20"/>
              </w:rPr>
            </w:pPr>
          </w:p>
        </w:tc>
        <w:tc>
          <w:tcPr>
            <w:tcW w:w="1028"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20/40</w:t>
            </w:r>
          </w:p>
        </w:tc>
        <w:tc>
          <w:tcPr>
            <w:tcW w:w="1336"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3.21</w:t>
            </w:r>
          </w:p>
        </w:tc>
        <w:tc>
          <w:tcPr>
            <w:tcW w:w="1559"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4.86</w:t>
            </w:r>
          </w:p>
        </w:tc>
        <w:tc>
          <w:tcPr>
            <w:tcW w:w="1843"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2.49</w:t>
            </w:r>
          </w:p>
        </w:tc>
      </w:tr>
      <w:tr w:rsidR="002A69C4" w:rsidRPr="002A69C4" w:rsidTr="00F145BA">
        <w:trPr>
          <w:trHeight w:val="210"/>
          <w:jc w:val="center"/>
        </w:trPr>
        <w:tc>
          <w:tcPr>
            <w:tcW w:w="1460" w:type="dxa"/>
            <w:vMerge w:val="restart"/>
            <w:shd w:val="clear" w:color="auto" w:fill="auto"/>
            <w:vAlign w:val="center"/>
          </w:tcPr>
          <w:p w:rsidR="002A69C4" w:rsidRPr="002A69C4" w:rsidRDefault="002A69C4" w:rsidP="002A69C4">
            <w:pPr>
              <w:spacing w:line="240" w:lineRule="auto"/>
              <w:jc w:val="center"/>
              <w:rPr>
                <w:rFonts w:ascii="Times New Roman" w:hAnsi="Times New Roman" w:cs="Times New Roman"/>
                <w:bCs/>
                <w:sz w:val="20"/>
                <w:szCs w:val="20"/>
              </w:rPr>
            </w:pPr>
            <w:r w:rsidRPr="002A69C4">
              <w:rPr>
                <w:rFonts w:ascii="Times New Roman" w:hAnsi="Times New Roman" w:cs="Times New Roman"/>
                <w:bCs/>
                <w:sz w:val="20"/>
                <w:szCs w:val="20"/>
              </w:rPr>
              <w:t>PrimeFRAC 20</w:t>
            </w:r>
          </w:p>
        </w:tc>
        <w:tc>
          <w:tcPr>
            <w:tcW w:w="1028"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12/18</w:t>
            </w:r>
          </w:p>
        </w:tc>
        <w:tc>
          <w:tcPr>
            <w:tcW w:w="1336"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2.49</w:t>
            </w:r>
          </w:p>
        </w:tc>
        <w:tc>
          <w:tcPr>
            <w:tcW w:w="1559"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4.09</w:t>
            </w:r>
          </w:p>
        </w:tc>
        <w:tc>
          <w:tcPr>
            <w:tcW w:w="1843"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2.35</w:t>
            </w:r>
          </w:p>
        </w:tc>
      </w:tr>
      <w:tr w:rsidR="002A69C4" w:rsidRPr="002A69C4" w:rsidTr="00F145BA">
        <w:trPr>
          <w:trHeight w:val="221"/>
          <w:jc w:val="center"/>
        </w:trPr>
        <w:tc>
          <w:tcPr>
            <w:tcW w:w="1460" w:type="dxa"/>
            <w:vMerge/>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p>
        </w:tc>
        <w:tc>
          <w:tcPr>
            <w:tcW w:w="1028"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16/20</w:t>
            </w:r>
          </w:p>
        </w:tc>
        <w:tc>
          <w:tcPr>
            <w:tcW w:w="1336"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4.5</w:t>
            </w:r>
          </w:p>
        </w:tc>
        <w:tc>
          <w:tcPr>
            <w:tcW w:w="1559"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6.25</w:t>
            </w:r>
          </w:p>
        </w:tc>
        <w:tc>
          <w:tcPr>
            <w:tcW w:w="1843"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3.77</w:t>
            </w:r>
          </w:p>
        </w:tc>
      </w:tr>
      <w:tr w:rsidR="002A69C4" w:rsidRPr="002A69C4" w:rsidTr="00F145BA">
        <w:trPr>
          <w:trHeight w:val="221"/>
          <w:jc w:val="center"/>
        </w:trPr>
        <w:tc>
          <w:tcPr>
            <w:tcW w:w="1460" w:type="dxa"/>
            <w:vMerge/>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p>
        </w:tc>
        <w:tc>
          <w:tcPr>
            <w:tcW w:w="1028"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20/40</w:t>
            </w:r>
          </w:p>
        </w:tc>
        <w:tc>
          <w:tcPr>
            <w:tcW w:w="1336"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3.42</w:t>
            </w:r>
          </w:p>
        </w:tc>
        <w:tc>
          <w:tcPr>
            <w:tcW w:w="1559"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5.18</w:t>
            </w:r>
          </w:p>
        </w:tc>
        <w:tc>
          <w:tcPr>
            <w:tcW w:w="1843" w:type="dxa"/>
            <w:shd w:val="clear" w:color="auto" w:fill="auto"/>
            <w:vAlign w:val="center"/>
          </w:tcPr>
          <w:p w:rsidR="002A69C4" w:rsidRPr="002A69C4" w:rsidRDefault="002A69C4" w:rsidP="002A69C4">
            <w:pPr>
              <w:spacing w:line="240" w:lineRule="auto"/>
              <w:jc w:val="center"/>
              <w:rPr>
                <w:rFonts w:ascii="Times New Roman" w:hAnsi="Times New Roman" w:cs="Times New Roman"/>
                <w:sz w:val="20"/>
                <w:szCs w:val="20"/>
              </w:rPr>
            </w:pPr>
            <w:r w:rsidRPr="002A69C4">
              <w:rPr>
                <w:rFonts w:ascii="Times New Roman" w:hAnsi="Times New Roman" w:cs="Times New Roman"/>
                <w:sz w:val="20"/>
                <w:szCs w:val="20"/>
              </w:rPr>
              <w:t>2.62</w:t>
            </w:r>
          </w:p>
        </w:tc>
      </w:tr>
    </w:tbl>
    <w:p w:rsidR="002A69C4" w:rsidRDefault="002A69C4" w:rsidP="002A69C4">
      <w:pPr>
        <w:spacing w:line="240" w:lineRule="auto"/>
        <w:jc w:val="both"/>
        <w:rPr>
          <w:rFonts w:ascii="Times New Roman" w:hAnsi="Times New Roman"/>
          <w:sz w:val="20"/>
          <w:szCs w:val="20"/>
        </w:rPr>
      </w:pPr>
    </w:p>
    <w:p w:rsidR="00390417" w:rsidRDefault="00390417" w:rsidP="002A69C4">
      <w:pPr>
        <w:spacing w:line="240" w:lineRule="auto"/>
        <w:jc w:val="both"/>
        <w:rPr>
          <w:rFonts w:ascii="Times New Roman" w:hAnsi="Times New Roman"/>
          <w:sz w:val="20"/>
          <w:szCs w:val="20"/>
        </w:rPr>
      </w:pPr>
    </w:p>
    <w:p w:rsidR="00390417" w:rsidRDefault="00390417" w:rsidP="00C32A56">
      <w:pPr>
        <w:spacing w:line="240" w:lineRule="auto"/>
        <w:jc w:val="center"/>
        <w:rPr>
          <w:rFonts w:ascii="Times New Roman" w:hAnsi="Times New Roman"/>
          <w:sz w:val="20"/>
          <w:szCs w:val="20"/>
        </w:rPr>
      </w:pPr>
      <w:r>
        <w:rPr>
          <w:noProof/>
        </w:rPr>
        <w:lastRenderedPageBreak/>
        <w:drawing>
          <wp:inline distT="0" distB="0" distL="0" distR="0" wp14:anchorId="195956F5" wp14:editId="1369AFC0">
            <wp:extent cx="4572000" cy="32194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0417" w:rsidRDefault="00D96D54" w:rsidP="00945CA3">
      <w:pPr>
        <w:spacing w:line="240" w:lineRule="auto"/>
        <w:jc w:val="center"/>
        <w:rPr>
          <w:rFonts w:ascii="Times New Roman" w:hAnsi="Times New Roman"/>
          <w:b/>
          <w:sz w:val="20"/>
          <w:szCs w:val="20"/>
        </w:rPr>
      </w:pPr>
      <w:r w:rsidRPr="00D96D54">
        <w:rPr>
          <w:rFonts w:ascii="Times New Roman" w:hAnsi="Times New Roman"/>
          <w:b/>
          <w:sz w:val="20"/>
          <w:szCs w:val="20"/>
        </w:rPr>
        <w:t>Figure</w:t>
      </w:r>
      <w:r w:rsidR="00945CA3">
        <w:rPr>
          <w:rFonts w:ascii="Times New Roman" w:hAnsi="Times New Roman"/>
          <w:b/>
          <w:sz w:val="20"/>
          <w:szCs w:val="20"/>
        </w:rPr>
        <w:t xml:space="preserve"> 2</w:t>
      </w:r>
      <w:r w:rsidR="00C32A56" w:rsidRPr="007255F5">
        <w:rPr>
          <w:rFonts w:ascii="Times New Roman" w:hAnsi="Times New Roman"/>
          <w:b/>
          <w:sz w:val="20"/>
          <w:szCs w:val="20"/>
        </w:rPr>
        <w:t xml:space="preserve">. </w:t>
      </w:r>
      <w:r w:rsidR="00B21377" w:rsidRPr="00B21377">
        <w:rPr>
          <w:rFonts w:ascii="Times New Roman" w:hAnsi="Times New Roman"/>
          <w:b/>
          <w:sz w:val="20"/>
          <w:szCs w:val="20"/>
        </w:rPr>
        <w:t xml:space="preserve">FOI Graph of the </w:t>
      </w:r>
      <w:proofErr w:type="spellStart"/>
      <w:r w:rsidR="00B21377" w:rsidRPr="00B21377">
        <w:rPr>
          <w:rFonts w:ascii="Times New Roman" w:hAnsi="Times New Roman"/>
          <w:b/>
          <w:sz w:val="20"/>
          <w:szCs w:val="20"/>
        </w:rPr>
        <w:t>Mc</w:t>
      </w:r>
      <w:proofErr w:type="spellEnd"/>
      <w:r w:rsidR="00B21377" w:rsidRPr="00B21377">
        <w:rPr>
          <w:rFonts w:ascii="Times New Roman" w:hAnsi="Times New Roman"/>
          <w:b/>
          <w:sz w:val="20"/>
          <w:szCs w:val="20"/>
        </w:rPr>
        <w:t xml:space="preserve"> </w:t>
      </w:r>
      <w:proofErr w:type="spellStart"/>
      <w:r w:rsidR="00B21377" w:rsidRPr="00B21377">
        <w:rPr>
          <w:rFonts w:ascii="Times New Roman" w:hAnsi="Times New Roman"/>
          <w:b/>
          <w:sz w:val="20"/>
          <w:szCs w:val="20"/>
        </w:rPr>
        <w:t>Guire</w:t>
      </w:r>
      <w:proofErr w:type="spellEnd"/>
      <w:r w:rsidR="00B21377" w:rsidRPr="00B21377">
        <w:rPr>
          <w:rFonts w:ascii="Times New Roman" w:hAnsi="Times New Roman"/>
          <w:b/>
          <w:sz w:val="20"/>
          <w:szCs w:val="20"/>
        </w:rPr>
        <w:t xml:space="preserve"> &amp; </w:t>
      </w:r>
      <w:proofErr w:type="spellStart"/>
      <w:r w:rsidR="00B21377" w:rsidRPr="00B21377">
        <w:rPr>
          <w:rFonts w:ascii="Times New Roman" w:hAnsi="Times New Roman"/>
          <w:b/>
          <w:sz w:val="20"/>
          <w:szCs w:val="20"/>
        </w:rPr>
        <w:t>Sikora</w:t>
      </w:r>
      <w:proofErr w:type="spellEnd"/>
      <w:r w:rsidR="00B21377" w:rsidRPr="00B21377">
        <w:rPr>
          <w:rFonts w:ascii="Times New Roman" w:hAnsi="Times New Roman"/>
          <w:b/>
          <w:sz w:val="20"/>
          <w:szCs w:val="20"/>
        </w:rPr>
        <w:t xml:space="preserve"> Method on Well TX-01</w:t>
      </w:r>
    </w:p>
    <w:p w:rsidR="00F145BA" w:rsidRPr="00B21377" w:rsidRDefault="00F145BA" w:rsidP="00945CA3">
      <w:pPr>
        <w:spacing w:line="240" w:lineRule="auto"/>
        <w:jc w:val="center"/>
        <w:rPr>
          <w:rFonts w:ascii="Times New Roman" w:hAnsi="Times New Roman"/>
          <w:b/>
          <w:sz w:val="20"/>
          <w:szCs w:val="20"/>
        </w:rPr>
      </w:pPr>
    </w:p>
    <w:p w:rsidR="00390417" w:rsidRDefault="00390417" w:rsidP="00C32A56">
      <w:pPr>
        <w:spacing w:line="240" w:lineRule="auto"/>
        <w:jc w:val="center"/>
        <w:rPr>
          <w:rFonts w:ascii="Times New Roman" w:hAnsi="Times New Roman"/>
          <w:sz w:val="20"/>
          <w:szCs w:val="20"/>
        </w:rPr>
      </w:pPr>
      <w:r>
        <w:rPr>
          <w:noProof/>
        </w:rPr>
        <w:drawing>
          <wp:inline distT="0" distB="0" distL="0" distR="0" wp14:anchorId="58881BCF" wp14:editId="789FC3D7">
            <wp:extent cx="4572000" cy="33718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0417" w:rsidRDefault="00D96D54" w:rsidP="00945CA3">
      <w:pPr>
        <w:spacing w:line="240" w:lineRule="auto"/>
        <w:jc w:val="center"/>
        <w:rPr>
          <w:rFonts w:ascii="Times New Roman" w:hAnsi="Times New Roman"/>
          <w:sz w:val="20"/>
          <w:szCs w:val="20"/>
        </w:rPr>
      </w:pPr>
      <w:r w:rsidRPr="00D96D54">
        <w:rPr>
          <w:rFonts w:ascii="Times New Roman" w:hAnsi="Times New Roman"/>
          <w:b/>
          <w:sz w:val="20"/>
          <w:szCs w:val="20"/>
        </w:rPr>
        <w:t>Figure</w:t>
      </w:r>
      <w:r w:rsidR="00945CA3">
        <w:rPr>
          <w:rFonts w:ascii="Times New Roman" w:hAnsi="Times New Roman"/>
          <w:b/>
          <w:sz w:val="20"/>
          <w:szCs w:val="20"/>
        </w:rPr>
        <w:t xml:space="preserve"> </w:t>
      </w:r>
      <w:r w:rsidR="00945CA3">
        <w:rPr>
          <w:rFonts w:ascii="Times New Roman" w:hAnsi="Times New Roman"/>
          <w:b/>
          <w:sz w:val="20"/>
          <w:szCs w:val="20"/>
          <w:lang w:val="id-ID"/>
        </w:rPr>
        <w:t>3</w:t>
      </w:r>
      <w:r w:rsidR="00C32A56" w:rsidRPr="007255F5">
        <w:rPr>
          <w:rFonts w:ascii="Times New Roman" w:hAnsi="Times New Roman"/>
          <w:b/>
          <w:sz w:val="20"/>
          <w:szCs w:val="20"/>
        </w:rPr>
        <w:t xml:space="preserve">. </w:t>
      </w:r>
      <w:r w:rsidR="00B21377" w:rsidRPr="00B21377">
        <w:rPr>
          <w:rFonts w:ascii="Times New Roman" w:hAnsi="Times New Roman"/>
          <w:b/>
          <w:sz w:val="20"/>
          <w:szCs w:val="20"/>
        </w:rPr>
        <w:t xml:space="preserve">FOI Graph of the </w:t>
      </w:r>
      <w:proofErr w:type="spellStart"/>
      <w:r w:rsidR="00B21377" w:rsidRPr="00B21377">
        <w:rPr>
          <w:rFonts w:ascii="Times New Roman" w:hAnsi="Times New Roman"/>
          <w:b/>
          <w:sz w:val="20"/>
          <w:szCs w:val="20"/>
        </w:rPr>
        <w:t>Cinco</w:t>
      </w:r>
      <w:proofErr w:type="spellEnd"/>
      <w:r w:rsidR="00B21377" w:rsidRPr="00B21377">
        <w:rPr>
          <w:rFonts w:ascii="Times New Roman" w:hAnsi="Times New Roman"/>
          <w:b/>
          <w:sz w:val="20"/>
          <w:szCs w:val="20"/>
        </w:rPr>
        <w:t xml:space="preserve">-Ley &amp; </w:t>
      </w:r>
      <w:proofErr w:type="spellStart"/>
      <w:r w:rsidR="00B21377" w:rsidRPr="00B21377">
        <w:rPr>
          <w:rFonts w:ascii="Times New Roman" w:hAnsi="Times New Roman"/>
          <w:b/>
          <w:sz w:val="20"/>
          <w:szCs w:val="20"/>
        </w:rPr>
        <w:t>Samaniago</w:t>
      </w:r>
      <w:proofErr w:type="spellEnd"/>
      <w:r w:rsidR="00B21377" w:rsidRPr="00B21377">
        <w:rPr>
          <w:rFonts w:ascii="Times New Roman" w:hAnsi="Times New Roman"/>
          <w:b/>
          <w:sz w:val="20"/>
          <w:szCs w:val="20"/>
        </w:rPr>
        <w:t xml:space="preserve"> Method on Well TX-01</w:t>
      </w:r>
    </w:p>
    <w:p w:rsidR="00390417" w:rsidRDefault="00390417" w:rsidP="00C32A56">
      <w:pPr>
        <w:spacing w:line="240" w:lineRule="auto"/>
        <w:jc w:val="center"/>
        <w:rPr>
          <w:rFonts w:ascii="Times New Roman" w:hAnsi="Times New Roman"/>
          <w:sz w:val="20"/>
          <w:szCs w:val="20"/>
        </w:rPr>
      </w:pPr>
      <w:r>
        <w:rPr>
          <w:noProof/>
        </w:rPr>
        <w:lastRenderedPageBreak/>
        <w:drawing>
          <wp:inline distT="0" distB="0" distL="0" distR="0" wp14:anchorId="242901AC" wp14:editId="5431F2FB">
            <wp:extent cx="4572000" cy="32099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1377" w:rsidRDefault="00D96D54" w:rsidP="00B21377">
      <w:pPr>
        <w:spacing w:line="240" w:lineRule="auto"/>
        <w:jc w:val="center"/>
        <w:rPr>
          <w:rFonts w:ascii="Times New Roman" w:hAnsi="Times New Roman"/>
          <w:b/>
          <w:sz w:val="20"/>
          <w:szCs w:val="20"/>
        </w:rPr>
      </w:pPr>
      <w:r w:rsidRPr="00D96D54">
        <w:rPr>
          <w:rFonts w:ascii="Times New Roman" w:hAnsi="Times New Roman"/>
          <w:b/>
          <w:sz w:val="20"/>
          <w:szCs w:val="20"/>
        </w:rPr>
        <w:t>Figure</w:t>
      </w:r>
      <w:r w:rsidR="00945CA3">
        <w:rPr>
          <w:rFonts w:ascii="Times New Roman" w:hAnsi="Times New Roman"/>
          <w:b/>
          <w:sz w:val="20"/>
          <w:szCs w:val="20"/>
        </w:rPr>
        <w:t xml:space="preserve"> 4</w:t>
      </w:r>
      <w:r w:rsidR="00C32A56" w:rsidRPr="007255F5">
        <w:rPr>
          <w:rFonts w:ascii="Times New Roman" w:hAnsi="Times New Roman"/>
          <w:b/>
          <w:sz w:val="20"/>
          <w:szCs w:val="20"/>
        </w:rPr>
        <w:t xml:space="preserve">. </w:t>
      </w:r>
      <w:r w:rsidR="00B21377" w:rsidRPr="00B21377">
        <w:rPr>
          <w:rFonts w:ascii="Times New Roman" w:hAnsi="Times New Roman"/>
          <w:b/>
          <w:sz w:val="20"/>
          <w:szCs w:val="20"/>
        </w:rPr>
        <w:t xml:space="preserve">FOI Graph of the Tinsley &amp; </w:t>
      </w:r>
      <w:proofErr w:type="spellStart"/>
      <w:r w:rsidR="00B21377" w:rsidRPr="00B21377">
        <w:rPr>
          <w:rFonts w:ascii="Times New Roman" w:hAnsi="Times New Roman"/>
          <w:b/>
          <w:sz w:val="20"/>
          <w:szCs w:val="20"/>
        </w:rPr>
        <w:t>Soliman</w:t>
      </w:r>
      <w:proofErr w:type="spellEnd"/>
      <w:r w:rsidR="00B21377" w:rsidRPr="00B21377">
        <w:rPr>
          <w:rFonts w:ascii="Times New Roman" w:hAnsi="Times New Roman"/>
          <w:b/>
          <w:sz w:val="20"/>
          <w:szCs w:val="20"/>
        </w:rPr>
        <w:t xml:space="preserve"> Method on Well TX-01</w:t>
      </w:r>
    </w:p>
    <w:p w:rsidR="00F145BA" w:rsidRDefault="00F145BA" w:rsidP="00B21377">
      <w:pPr>
        <w:spacing w:line="240" w:lineRule="auto"/>
        <w:jc w:val="center"/>
        <w:rPr>
          <w:rFonts w:ascii="Times New Roman" w:hAnsi="Times New Roman"/>
          <w:b/>
          <w:sz w:val="20"/>
          <w:szCs w:val="20"/>
        </w:rPr>
      </w:pPr>
      <w:bookmarkStart w:id="0" w:name="_GoBack"/>
      <w:bookmarkEnd w:id="0"/>
    </w:p>
    <w:p w:rsidR="002A69C4" w:rsidRPr="002A69C4" w:rsidRDefault="002A69C4" w:rsidP="00B21377">
      <w:pPr>
        <w:spacing w:line="240" w:lineRule="auto"/>
        <w:jc w:val="both"/>
        <w:rPr>
          <w:rFonts w:ascii="Times New Roman" w:hAnsi="Times New Roman"/>
          <w:sz w:val="20"/>
          <w:szCs w:val="20"/>
        </w:rPr>
      </w:pPr>
      <w:r w:rsidRPr="002A69C4">
        <w:rPr>
          <w:rFonts w:ascii="Times New Roman" w:hAnsi="Times New Roman"/>
          <w:sz w:val="20"/>
          <w:szCs w:val="20"/>
        </w:rPr>
        <w:t xml:space="preserve">Based on the overall analysis of the calculation results of the FOI, the largest FOI value is 6.25, which is the combination of the choice of fracturing fluid for the type of PrimeFRAC20 with a viscosity of 117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with a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 of 16/20 mesh. The combination of fluid selection has a fracture length of 416.5 </w:t>
      </w:r>
      <w:proofErr w:type="spellStart"/>
      <w:r w:rsidRPr="002A69C4">
        <w:rPr>
          <w:rFonts w:ascii="Times New Roman" w:hAnsi="Times New Roman"/>
          <w:sz w:val="20"/>
          <w:szCs w:val="20"/>
        </w:rPr>
        <w:t>ft</w:t>
      </w:r>
      <w:proofErr w:type="spellEnd"/>
      <w:r w:rsidRPr="002A69C4">
        <w:rPr>
          <w:rFonts w:ascii="Times New Roman" w:hAnsi="Times New Roman"/>
          <w:sz w:val="20"/>
          <w:szCs w:val="20"/>
        </w:rPr>
        <w:t xml:space="preserve"> with a fracture width of 0.4855 inch and produces a high fracture conductivity of 5167 </w:t>
      </w:r>
      <w:proofErr w:type="spellStart"/>
      <w:r w:rsidRPr="002A69C4">
        <w:rPr>
          <w:rFonts w:ascii="Times New Roman" w:hAnsi="Times New Roman"/>
          <w:sz w:val="20"/>
          <w:szCs w:val="20"/>
        </w:rPr>
        <w:t>md.ft</w:t>
      </w:r>
      <w:proofErr w:type="spellEnd"/>
      <w:r w:rsidRPr="002A69C4">
        <w:rPr>
          <w:rFonts w:ascii="Times New Roman" w:hAnsi="Times New Roman"/>
          <w:sz w:val="20"/>
          <w:szCs w:val="20"/>
        </w:rPr>
        <w:t xml:space="preserve">. Thus it is recommended that hydraulic fracturing in the TX-01 well be carried out with a high viscosity fracture fluid such as PrimeFRAC20 fluid which has a viscosity of 117.1 </w:t>
      </w:r>
      <w:proofErr w:type="spellStart"/>
      <w:r w:rsidRPr="002A69C4">
        <w:rPr>
          <w:rFonts w:ascii="Times New Roman" w:hAnsi="Times New Roman"/>
          <w:sz w:val="20"/>
          <w:szCs w:val="20"/>
        </w:rPr>
        <w:t>cp</w:t>
      </w:r>
      <w:proofErr w:type="spellEnd"/>
      <w:r w:rsidRPr="002A69C4">
        <w:rPr>
          <w:rFonts w:ascii="Times New Roman" w:hAnsi="Times New Roman"/>
          <w:sz w:val="20"/>
          <w:szCs w:val="20"/>
        </w:rPr>
        <w:t xml:space="preserve">, then for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selection, a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with a small mesh size should be selected to form high conductivity so that can increase productivity with optimal hydraulic fracturing design.</w:t>
      </w:r>
    </w:p>
    <w:p w:rsidR="00D81D83" w:rsidRDefault="002A69C4" w:rsidP="002A69C4">
      <w:pPr>
        <w:spacing w:after="120" w:line="240" w:lineRule="auto"/>
        <w:jc w:val="both"/>
        <w:rPr>
          <w:rFonts w:ascii="Times New Roman" w:eastAsia="Times New Roman" w:hAnsi="Times New Roman"/>
          <w:sz w:val="20"/>
          <w:szCs w:val="20"/>
        </w:rPr>
      </w:pPr>
      <w:r w:rsidRPr="002A69C4">
        <w:rPr>
          <w:rFonts w:ascii="Times New Roman" w:hAnsi="Times New Roman"/>
          <w:sz w:val="20"/>
          <w:szCs w:val="20"/>
        </w:rPr>
        <w:t xml:space="preserve">The results of the analysis of the effect of selecting the combination of fracturing fluid and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 on the amount of FOI indicate that the use of PrimeFRAC20 fluid has a higher viscosity value than YF240OD fluid, this is because the viscosity of </w:t>
      </w:r>
      <w:proofErr w:type="spellStart"/>
      <w:r w:rsidRPr="002A69C4">
        <w:rPr>
          <w:rFonts w:ascii="Times New Roman" w:hAnsi="Times New Roman"/>
          <w:sz w:val="20"/>
          <w:szCs w:val="20"/>
        </w:rPr>
        <w:t>PrimeFRAC</w:t>
      </w:r>
      <w:proofErr w:type="spellEnd"/>
      <w:r w:rsidRPr="002A69C4">
        <w:rPr>
          <w:rFonts w:ascii="Times New Roman" w:hAnsi="Times New Roman"/>
          <w:sz w:val="20"/>
          <w:szCs w:val="20"/>
        </w:rPr>
        <w:t xml:space="preserve"> fluid is higher than YF240OD fluid, so it can provide fracture width and fracture conductivity large because it can transport </w:t>
      </w:r>
      <w:proofErr w:type="spellStart"/>
      <w:r w:rsidRPr="002A69C4">
        <w:rPr>
          <w:rFonts w:ascii="Times New Roman" w:hAnsi="Times New Roman"/>
          <w:sz w:val="20"/>
          <w:szCs w:val="20"/>
        </w:rPr>
        <w:t>proppants</w:t>
      </w:r>
      <w:proofErr w:type="spellEnd"/>
      <w:r w:rsidRPr="002A69C4">
        <w:rPr>
          <w:rFonts w:ascii="Times New Roman" w:hAnsi="Times New Roman"/>
          <w:sz w:val="20"/>
          <w:szCs w:val="20"/>
        </w:rPr>
        <w:t xml:space="preserve"> better than fluids with low viscosity. Likewise with the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 the larger the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 (the smaller the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mesh value), the greater the conductivity that can be formed after fracturing. In the picture above there is an error for the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 16/18 mesh, this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should have a higher conductivity than other </w:t>
      </w:r>
      <w:proofErr w:type="spellStart"/>
      <w:r w:rsidRPr="002A69C4">
        <w:rPr>
          <w:rFonts w:ascii="Times New Roman" w:hAnsi="Times New Roman"/>
          <w:sz w:val="20"/>
          <w:szCs w:val="20"/>
        </w:rPr>
        <w:t>proppant</w:t>
      </w:r>
      <w:proofErr w:type="spellEnd"/>
      <w:r w:rsidRPr="002A69C4">
        <w:rPr>
          <w:rFonts w:ascii="Times New Roman" w:hAnsi="Times New Roman"/>
          <w:sz w:val="20"/>
          <w:szCs w:val="20"/>
        </w:rPr>
        <w:t xml:space="preserve"> sizes, but the conductivity value at 16/18 mesh size in this study is smaller than the others, this is due to its physical properties provided by </w:t>
      </w:r>
      <w:proofErr w:type="spellStart"/>
      <w:r w:rsidRPr="002A69C4">
        <w:rPr>
          <w:rFonts w:ascii="Times New Roman" w:hAnsi="Times New Roman"/>
          <w:sz w:val="20"/>
          <w:szCs w:val="20"/>
        </w:rPr>
        <w:t>FracCADE</w:t>
      </w:r>
      <w:proofErr w:type="spellEnd"/>
      <w:r w:rsidRPr="002A69C4">
        <w:rPr>
          <w:rFonts w:ascii="Times New Roman" w:hAnsi="Times New Roman"/>
          <w:sz w:val="20"/>
          <w:szCs w:val="20"/>
        </w:rPr>
        <w:t xml:space="preserve"> are shown in </w:t>
      </w:r>
      <w:r w:rsidR="00D96D54" w:rsidRPr="00D96D54">
        <w:rPr>
          <w:rFonts w:ascii="Times New Roman" w:hAnsi="Times New Roman"/>
          <w:b/>
          <w:sz w:val="20"/>
          <w:szCs w:val="20"/>
        </w:rPr>
        <w:t>Figure</w:t>
      </w:r>
      <w:r w:rsidRPr="002A69C4">
        <w:rPr>
          <w:rFonts w:ascii="Times New Roman" w:hAnsi="Times New Roman"/>
          <w:sz w:val="20"/>
          <w:szCs w:val="20"/>
        </w:rPr>
        <w:t xml:space="preserve"> 3.</w:t>
      </w:r>
    </w:p>
    <w:p w:rsidR="002A69C4" w:rsidRPr="002A69C4" w:rsidRDefault="002A69C4" w:rsidP="002A69C4">
      <w:pPr>
        <w:spacing w:after="120" w:line="240" w:lineRule="auto"/>
        <w:jc w:val="both"/>
        <w:rPr>
          <w:rFonts w:ascii="Times New Roman" w:eastAsia="Times New Roman" w:hAnsi="Times New Roman"/>
          <w:sz w:val="20"/>
          <w:szCs w:val="20"/>
        </w:rPr>
      </w:pPr>
    </w:p>
    <w:p w:rsidR="009E513A" w:rsidRDefault="002A6E66" w:rsidP="00F03F8C">
      <w:pPr>
        <w:pStyle w:val="NoSpacing"/>
        <w:spacing w:after="120"/>
        <w:ind w:left="567" w:hanging="567"/>
        <w:rPr>
          <w:rFonts w:ascii="Times New Roman" w:eastAsia="Times New Roman" w:hAnsi="Times New Roman"/>
          <w:sz w:val="24"/>
          <w:szCs w:val="24"/>
        </w:rPr>
      </w:pPr>
      <w:r w:rsidRPr="00A04A9E">
        <w:rPr>
          <w:rFonts w:ascii="Times New Roman" w:hAnsi="Times New Roman"/>
          <w:b/>
          <w:sz w:val="20"/>
          <w:szCs w:val="20"/>
        </w:rPr>
        <w:t>IV.</w:t>
      </w:r>
      <w:r w:rsidRPr="00A04A9E">
        <w:rPr>
          <w:rFonts w:ascii="Times New Roman" w:hAnsi="Times New Roman"/>
          <w:b/>
          <w:sz w:val="20"/>
          <w:szCs w:val="20"/>
        </w:rPr>
        <w:tab/>
      </w:r>
      <w:r w:rsidR="009E513A" w:rsidRPr="009E513A">
        <w:rPr>
          <w:rFonts w:ascii="Times New Roman" w:eastAsia="Times New Roman" w:hAnsi="Times New Roman"/>
          <w:b/>
          <w:sz w:val="20"/>
          <w:szCs w:val="20"/>
        </w:rPr>
        <w:t>CONCLUSION</w:t>
      </w:r>
    </w:p>
    <w:p w:rsidR="004311E5" w:rsidRDefault="00347577" w:rsidP="00347577">
      <w:pPr>
        <w:spacing w:after="0" w:line="240" w:lineRule="auto"/>
        <w:jc w:val="both"/>
        <w:rPr>
          <w:rFonts w:ascii="Times New Roman" w:eastAsia="Times New Roman" w:hAnsi="Times New Roman"/>
          <w:sz w:val="20"/>
          <w:szCs w:val="20"/>
        </w:rPr>
      </w:pPr>
      <w:r w:rsidRPr="00347577">
        <w:rPr>
          <w:rFonts w:ascii="Times New Roman" w:eastAsia="Times New Roman" w:hAnsi="Times New Roman"/>
          <w:sz w:val="20"/>
          <w:szCs w:val="20"/>
        </w:rPr>
        <w:t>Based on the studies that have been carried out in conducting analysis studies on the selection of the combination of fracturing fluid and the size</w:t>
      </w:r>
      <w:r>
        <w:rPr>
          <w:rFonts w:ascii="Times New Roman" w:eastAsia="Times New Roman" w:hAnsi="Times New Roman"/>
          <w:sz w:val="20"/>
          <w:szCs w:val="20"/>
        </w:rPr>
        <w:t>s</w:t>
      </w:r>
      <w:r w:rsidRPr="00347577">
        <w:rPr>
          <w:rFonts w:ascii="Times New Roman" w:eastAsia="Times New Roman" w:hAnsi="Times New Roman"/>
          <w:sz w:val="20"/>
          <w:szCs w:val="20"/>
        </w:rPr>
        <w:t xml:space="preserve"> of the </w:t>
      </w:r>
      <w:proofErr w:type="spellStart"/>
      <w:r w:rsidRPr="00347577">
        <w:rPr>
          <w:rFonts w:ascii="Times New Roman" w:eastAsia="Times New Roman" w:hAnsi="Times New Roman"/>
          <w:sz w:val="20"/>
          <w:szCs w:val="20"/>
        </w:rPr>
        <w:t>proppant</w:t>
      </w:r>
      <w:r>
        <w:rPr>
          <w:rFonts w:ascii="Times New Roman" w:eastAsia="Times New Roman" w:hAnsi="Times New Roman"/>
          <w:sz w:val="20"/>
          <w:szCs w:val="20"/>
        </w:rPr>
        <w:t>s</w:t>
      </w:r>
      <w:proofErr w:type="spellEnd"/>
      <w:r w:rsidRPr="00347577">
        <w:rPr>
          <w:rFonts w:ascii="Times New Roman" w:eastAsia="Times New Roman" w:hAnsi="Times New Roman"/>
          <w:sz w:val="20"/>
          <w:szCs w:val="20"/>
        </w:rPr>
        <w:t xml:space="preserve"> to the</w:t>
      </w:r>
      <w:r>
        <w:rPr>
          <w:rFonts w:ascii="Times New Roman" w:eastAsia="Times New Roman" w:hAnsi="Times New Roman"/>
          <w:sz w:val="20"/>
          <w:szCs w:val="20"/>
        </w:rPr>
        <w:t xml:space="preserve"> value of</w:t>
      </w:r>
      <w:r w:rsidRPr="00347577">
        <w:rPr>
          <w:rFonts w:ascii="Times New Roman" w:eastAsia="Times New Roman" w:hAnsi="Times New Roman"/>
          <w:sz w:val="20"/>
          <w:szCs w:val="20"/>
        </w:rPr>
        <w:t xml:space="preserve"> folds of increase (FOI) in the TX-01</w:t>
      </w:r>
      <w:r>
        <w:rPr>
          <w:rFonts w:ascii="Times New Roman" w:eastAsia="Times New Roman" w:hAnsi="Times New Roman"/>
          <w:sz w:val="20"/>
          <w:szCs w:val="20"/>
        </w:rPr>
        <w:t xml:space="preserve"> well</w:t>
      </w:r>
      <w:r w:rsidRPr="00347577">
        <w:rPr>
          <w:rFonts w:ascii="Times New Roman" w:eastAsia="Times New Roman" w:hAnsi="Times New Roman"/>
          <w:sz w:val="20"/>
          <w:szCs w:val="20"/>
        </w:rPr>
        <w:t xml:space="preserve"> </w:t>
      </w:r>
      <w:r>
        <w:rPr>
          <w:rFonts w:ascii="Times New Roman" w:eastAsia="Times New Roman" w:hAnsi="Times New Roman"/>
          <w:sz w:val="20"/>
          <w:szCs w:val="20"/>
        </w:rPr>
        <w:t>of</w:t>
      </w:r>
      <w:r w:rsidRPr="00347577">
        <w:rPr>
          <w:rFonts w:ascii="Times New Roman" w:eastAsia="Times New Roman" w:hAnsi="Times New Roman"/>
          <w:sz w:val="20"/>
          <w:szCs w:val="20"/>
        </w:rPr>
        <w:t xml:space="preserve"> "DHC" field, the following conclusions were obtained:</w:t>
      </w:r>
    </w:p>
    <w:p w:rsidR="00347577" w:rsidRPr="00347577" w:rsidRDefault="00347577" w:rsidP="00347577">
      <w:pPr>
        <w:pStyle w:val="ListParagraph"/>
        <w:numPr>
          <w:ilvl w:val="0"/>
          <w:numId w:val="6"/>
        </w:numPr>
        <w:spacing w:after="0" w:line="240" w:lineRule="auto"/>
        <w:ind w:left="426"/>
        <w:jc w:val="both"/>
        <w:rPr>
          <w:rFonts w:ascii="Times New Roman" w:eastAsia="Times New Roman" w:hAnsi="Times New Roman"/>
          <w:sz w:val="20"/>
          <w:szCs w:val="20"/>
        </w:rPr>
      </w:pPr>
      <w:r w:rsidRPr="00347577">
        <w:rPr>
          <w:rFonts w:ascii="Times New Roman" w:eastAsia="Times New Roman" w:hAnsi="Times New Roman"/>
          <w:sz w:val="20"/>
          <w:szCs w:val="20"/>
        </w:rPr>
        <w:t xml:space="preserve">PrimeFRAC20 fluid has a greater FOI </w:t>
      </w:r>
      <w:r>
        <w:rPr>
          <w:rFonts w:ascii="Times New Roman" w:eastAsia="Times New Roman" w:hAnsi="Times New Roman"/>
          <w:sz w:val="20"/>
          <w:szCs w:val="20"/>
        </w:rPr>
        <w:t>value</w:t>
      </w:r>
      <w:r w:rsidRPr="00347577">
        <w:rPr>
          <w:rFonts w:ascii="Times New Roman" w:eastAsia="Times New Roman" w:hAnsi="Times New Roman"/>
          <w:sz w:val="20"/>
          <w:szCs w:val="20"/>
        </w:rPr>
        <w:t xml:space="preserve"> than YF240OD fluid, </w:t>
      </w:r>
      <w:proofErr w:type="spellStart"/>
      <w:proofErr w:type="gramStart"/>
      <w:r>
        <w:rPr>
          <w:rFonts w:ascii="Times New Roman" w:eastAsia="Times New Roman" w:hAnsi="Times New Roman"/>
          <w:sz w:val="20"/>
          <w:szCs w:val="20"/>
        </w:rPr>
        <w:t>its</w:t>
      </w:r>
      <w:proofErr w:type="spellEnd"/>
      <w:proofErr w:type="gramEnd"/>
      <w:r>
        <w:rPr>
          <w:rFonts w:ascii="Times New Roman" w:eastAsia="Times New Roman" w:hAnsi="Times New Roman"/>
          <w:sz w:val="20"/>
          <w:szCs w:val="20"/>
        </w:rPr>
        <w:t xml:space="preserve"> </w:t>
      </w:r>
      <w:r w:rsidRPr="00347577">
        <w:rPr>
          <w:rFonts w:ascii="Times New Roman" w:eastAsia="Times New Roman" w:hAnsi="Times New Roman"/>
          <w:sz w:val="20"/>
          <w:szCs w:val="20"/>
        </w:rPr>
        <w:t xml:space="preserve">because the viscosity of </w:t>
      </w:r>
      <w:proofErr w:type="spellStart"/>
      <w:r w:rsidRPr="00347577">
        <w:rPr>
          <w:rFonts w:ascii="Times New Roman" w:eastAsia="Times New Roman" w:hAnsi="Times New Roman"/>
          <w:sz w:val="20"/>
          <w:szCs w:val="20"/>
        </w:rPr>
        <w:t>PrimeFRAC</w:t>
      </w:r>
      <w:proofErr w:type="spellEnd"/>
      <w:r w:rsidRPr="00347577">
        <w:rPr>
          <w:rFonts w:ascii="Times New Roman" w:eastAsia="Times New Roman" w:hAnsi="Times New Roman"/>
          <w:sz w:val="20"/>
          <w:szCs w:val="20"/>
        </w:rPr>
        <w:t xml:space="preserve"> fluid is higher than YF240OD fluid, so it can provide greater fracture width and conductivity because it can transport </w:t>
      </w:r>
      <w:proofErr w:type="spellStart"/>
      <w:r w:rsidRPr="00347577">
        <w:rPr>
          <w:rFonts w:ascii="Times New Roman" w:eastAsia="Times New Roman" w:hAnsi="Times New Roman"/>
          <w:sz w:val="20"/>
          <w:szCs w:val="20"/>
        </w:rPr>
        <w:t>proppants</w:t>
      </w:r>
      <w:proofErr w:type="spellEnd"/>
      <w:r w:rsidRPr="00347577">
        <w:rPr>
          <w:rFonts w:ascii="Times New Roman" w:eastAsia="Times New Roman" w:hAnsi="Times New Roman"/>
          <w:sz w:val="20"/>
          <w:szCs w:val="20"/>
        </w:rPr>
        <w:t xml:space="preserve"> better than fluids with low viscosity.</w:t>
      </w:r>
    </w:p>
    <w:p w:rsidR="00347577" w:rsidRDefault="00347577" w:rsidP="00347577">
      <w:pPr>
        <w:pStyle w:val="ListParagraph"/>
        <w:numPr>
          <w:ilvl w:val="0"/>
          <w:numId w:val="6"/>
        </w:numPr>
        <w:spacing w:after="120" w:line="240" w:lineRule="auto"/>
        <w:ind w:left="426"/>
        <w:jc w:val="both"/>
        <w:rPr>
          <w:rFonts w:ascii="Times New Roman" w:eastAsia="Times New Roman" w:hAnsi="Times New Roman"/>
          <w:sz w:val="20"/>
          <w:szCs w:val="20"/>
        </w:rPr>
      </w:pPr>
      <w:r w:rsidRPr="00347577">
        <w:rPr>
          <w:rFonts w:ascii="Times New Roman" w:eastAsia="Times New Roman" w:hAnsi="Times New Roman"/>
          <w:sz w:val="20"/>
          <w:szCs w:val="20"/>
        </w:rPr>
        <w:t xml:space="preserve">The larger the </w:t>
      </w:r>
      <w:proofErr w:type="spellStart"/>
      <w:r w:rsidRPr="00347577">
        <w:rPr>
          <w:rFonts w:ascii="Times New Roman" w:eastAsia="Times New Roman" w:hAnsi="Times New Roman"/>
          <w:sz w:val="20"/>
          <w:szCs w:val="20"/>
        </w:rPr>
        <w:t>proppant</w:t>
      </w:r>
      <w:proofErr w:type="spellEnd"/>
      <w:r w:rsidRPr="00347577">
        <w:rPr>
          <w:rFonts w:ascii="Times New Roman" w:eastAsia="Times New Roman" w:hAnsi="Times New Roman"/>
          <w:sz w:val="20"/>
          <w:szCs w:val="20"/>
        </w:rPr>
        <w:t xml:space="preserve"> size (the smaller the </w:t>
      </w:r>
      <w:proofErr w:type="spellStart"/>
      <w:r w:rsidRPr="00347577">
        <w:rPr>
          <w:rFonts w:ascii="Times New Roman" w:eastAsia="Times New Roman" w:hAnsi="Times New Roman"/>
          <w:sz w:val="20"/>
          <w:szCs w:val="20"/>
        </w:rPr>
        <w:t>proppant</w:t>
      </w:r>
      <w:proofErr w:type="spellEnd"/>
      <w:r w:rsidRPr="00347577">
        <w:rPr>
          <w:rFonts w:ascii="Times New Roman" w:eastAsia="Times New Roman" w:hAnsi="Times New Roman"/>
          <w:sz w:val="20"/>
          <w:szCs w:val="20"/>
        </w:rPr>
        <w:t xml:space="preserve"> mesh value), the greater the conductivity that can form after fracturing</w:t>
      </w:r>
      <w:r>
        <w:rPr>
          <w:rFonts w:ascii="Times New Roman" w:eastAsia="Times New Roman" w:hAnsi="Times New Roman"/>
          <w:sz w:val="20"/>
          <w:szCs w:val="20"/>
        </w:rPr>
        <w:t>.</w:t>
      </w:r>
    </w:p>
    <w:p w:rsidR="00232103" w:rsidRDefault="00347577" w:rsidP="00232103">
      <w:pPr>
        <w:pStyle w:val="ListParagraph"/>
        <w:numPr>
          <w:ilvl w:val="0"/>
          <w:numId w:val="6"/>
        </w:numPr>
        <w:spacing w:after="120" w:line="240" w:lineRule="auto"/>
        <w:ind w:left="426"/>
        <w:jc w:val="both"/>
        <w:rPr>
          <w:rFonts w:ascii="Times New Roman" w:eastAsia="Times New Roman" w:hAnsi="Times New Roman"/>
          <w:sz w:val="20"/>
          <w:szCs w:val="20"/>
        </w:rPr>
      </w:pPr>
      <w:r w:rsidRPr="00347577">
        <w:rPr>
          <w:rFonts w:ascii="Times New Roman" w:eastAsia="Times New Roman" w:hAnsi="Times New Roman"/>
          <w:sz w:val="20"/>
          <w:szCs w:val="20"/>
        </w:rPr>
        <w:t xml:space="preserve">The TX-01 well produced the highest FOI </w:t>
      </w:r>
      <w:r>
        <w:rPr>
          <w:rFonts w:ascii="Times New Roman" w:eastAsia="Times New Roman" w:hAnsi="Times New Roman"/>
          <w:sz w:val="20"/>
          <w:szCs w:val="20"/>
        </w:rPr>
        <w:t>value</w:t>
      </w:r>
      <w:r w:rsidRPr="00347577">
        <w:rPr>
          <w:rFonts w:ascii="Times New Roman" w:eastAsia="Times New Roman" w:hAnsi="Times New Roman"/>
          <w:sz w:val="20"/>
          <w:szCs w:val="20"/>
        </w:rPr>
        <w:t xml:space="preserve"> of 6.25 using a combina</w:t>
      </w:r>
      <w:r>
        <w:rPr>
          <w:rFonts w:ascii="Times New Roman" w:eastAsia="Times New Roman" w:hAnsi="Times New Roman"/>
          <w:sz w:val="20"/>
          <w:szCs w:val="20"/>
        </w:rPr>
        <w:t>tion of the choice of a fracturing</w:t>
      </w:r>
      <w:r w:rsidRPr="00347577">
        <w:rPr>
          <w:rFonts w:ascii="Times New Roman" w:eastAsia="Times New Roman" w:hAnsi="Times New Roman"/>
          <w:sz w:val="20"/>
          <w:szCs w:val="20"/>
        </w:rPr>
        <w:t xml:space="preserve"> fluid PrimeFRAC20 with a viscosity of 117.1 </w:t>
      </w:r>
      <w:proofErr w:type="spellStart"/>
      <w:r w:rsidRPr="00347577">
        <w:rPr>
          <w:rFonts w:ascii="Times New Roman" w:eastAsia="Times New Roman" w:hAnsi="Times New Roman"/>
          <w:sz w:val="20"/>
          <w:szCs w:val="20"/>
        </w:rPr>
        <w:t>cp</w:t>
      </w:r>
      <w:proofErr w:type="spellEnd"/>
      <w:r w:rsidRPr="00347577">
        <w:rPr>
          <w:rFonts w:ascii="Times New Roman" w:eastAsia="Times New Roman" w:hAnsi="Times New Roman"/>
          <w:sz w:val="20"/>
          <w:szCs w:val="20"/>
        </w:rPr>
        <w:t xml:space="preserve"> with a </w:t>
      </w:r>
      <w:proofErr w:type="spellStart"/>
      <w:r w:rsidRPr="00347577">
        <w:rPr>
          <w:rFonts w:ascii="Times New Roman" w:eastAsia="Times New Roman" w:hAnsi="Times New Roman"/>
          <w:sz w:val="20"/>
          <w:szCs w:val="20"/>
        </w:rPr>
        <w:t>proppant</w:t>
      </w:r>
      <w:proofErr w:type="spellEnd"/>
      <w:r w:rsidRPr="00347577">
        <w:rPr>
          <w:rFonts w:ascii="Times New Roman" w:eastAsia="Times New Roman" w:hAnsi="Times New Roman"/>
          <w:sz w:val="20"/>
          <w:szCs w:val="20"/>
        </w:rPr>
        <w:t xml:space="preserve"> </w:t>
      </w:r>
      <w:r>
        <w:rPr>
          <w:rFonts w:ascii="Times New Roman" w:eastAsia="Times New Roman" w:hAnsi="Times New Roman"/>
          <w:sz w:val="20"/>
          <w:szCs w:val="20"/>
        </w:rPr>
        <w:t>size</w:t>
      </w:r>
      <w:r w:rsidRPr="00347577">
        <w:rPr>
          <w:rFonts w:ascii="Times New Roman" w:eastAsia="Times New Roman" w:hAnsi="Times New Roman"/>
          <w:sz w:val="20"/>
          <w:szCs w:val="20"/>
        </w:rPr>
        <w:t xml:space="preserve"> 16/20 mesh C-Lite</w:t>
      </w:r>
      <w:r>
        <w:rPr>
          <w:rFonts w:ascii="Times New Roman" w:eastAsia="Times New Roman" w:hAnsi="Times New Roman"/>
          <w:sz w:val="20"/>
          <w:szCs w:val="20"/>
        </w:rPr>
        <w:t>,</w:t>
      </w:r>
      <w:r w:rsidRPr="00347577">
        <w:rPr>
          <w:rFonts w:ascii="Times New Roman" w:eastAsia="Times New Roman" w:hAnsi="Times New Roman"/>
          <w:sz w:val="20"/>
          <w:szCs w:val="20"/>
        </w:rPr>
        <w:t xml:space="preserve"> so it is recommended for further fracturing in the same reservoir conditions and la</w:t>
      </w:r>
      <w:r>
        <w:rPr>
          <w:rFonts w:ascii="Times New Roman" w:eastAsia="Times New Roman" w:hAnsi="Times New Roman"/>
          <w:sz w:val="20"/>
          <w:szCs w:val="20"/>
        </w:rPr>
        <w:t xml:space="preserve">yers can be </w:t>
      </w:r>
      <w:r w:rsidRPr="00347577">
        <w:rPr>
          <w:rFonts w:ascii="Times New Roman" w:eastAsia="Times New Roman" w:hAnsi="Times New Roman"/>
          <w:sz w:val="20"/>
          <w:szCs w:val="20"/>
        </w:rPr>
        <w:t>to increase the productivity of the well.</w:t>
      </w:r>
    </w:p>
    <w:p w:rsidR="00232103" w:rsidRPr="00232103" w:rsidRDefault="00232103" w:rsidP="00232103">
      <w:pPr>
        <w:pStyle w:val="ListParagraph"/>
        <w:numPr>
          <w:ilvl w:val="0"/>
          <w:numId w:val="6"/>
        </w:numPr>
        <w:spacing w:after="120" w:line="240" w:lineRule="auto"/>
        <w:ind w:left="426"/>
        <w:jc w:val="both"/>
        <w:rPr>
          <w:rFonts w:ascii="Times New Roman" w:eastAsia="Times New Roman" w:hAnsi="Times New Roman"/>
          <w:sz w:val="20"/>
          <w:szCs w:val="20"/>
        </w:rPr>
      </w:pPr>
      <w:r w:rsidRPr="00232103">
        <w:rPr>
          <w:rFonts w:ascii="Times New Roman" w:eastAsia="Times New Roman" w:hAnsi="Times New Roman"/>
          <w:sz w:val="20"/>
          <w:szCs w:val="20"/>
        </w:rPr>
        <w:t>It is necessary to do further research related to the FOI value for each sensitivity to permeability so that it is expected to increase the productivity of well production.</w:t>
      </w:r>
    </w:p>
    <w:p w:rsidR="00FA3FCA" w:rsidRDefault="00FA3FCA" w:rsidP="003F027F">
      <w:pPr>
        <w:spacing w:after="120" w:line="240" w:lineRule="auto"/>
        <w:jc w:val="both"/>
        <w:rPr>
          <w:rStyle w:val="m6728193749007035942gmail-"/>
          <w:rFonts w:ascii="Times New Roman" w:hAnsi="Times New Roman"/>
          <w:b/>
          <w:color w:val="222222"/>
          <w:sz w:val="20"/>
          <w:szCs w:val="20"/>
          <w:shd w:val="clear" w:color="auto" w:fill="FFFFFF"/>
        </w:rPr>
      </w:pPr>
    </w:p>
    <w:p w:rsidR="00FA3FCA" w:rsidRDefault="00FA3FCA" w:rsidP="003F027F">
      <w:pPr>
        <w:spacing w:after="120" w:line="240" w:lineRule="auto"/>
        <w:jc w:val="both"/>
        <w:rPr>
          <w:rFonts w:ascii="Times New Roman" w:eastAsia="Times New Roman" w:hAnsi="Times New Roman"/>
          <w:b/>
          <w:sz w:val="20"/>
          <w:szCs w:val="20"/>
        </w:rPr>
      </w:pPr>
    </w:p>
    <w:p w:rsidR="003F027F" w:rsidRPr="003F027F" w:rsidRDefault="003F027F" w:rsidP="003F027F">
      <w:pPr>
        <w:spacing w:after="120" w:line="240" w:lineRule="auto"/>
        <w:jc w:val="both"/>
        <w:rPr>
          <w:rFonts w:ascii="Times New Roman" w:eastAsia="Times New Roman" w:hAnsi="Times New Roman"/>
          <w:sz w:val="20"/>
          <w:szCs w:val="20"/>
        </w:rPr>
      </w:pPr>
      <w:r w:rsidRPr="003F027F">
        <w:rPr>
          <w:rFonts w:ascii="Times New Roman" w:eastAsia="Times New Roman" w:hAnsi="Times New Roman"/>
          <w:b/>
          <w:sz w:val="20"/>
          <w:szCs w:val="20"/>
        </w:rPr>
        <w:t>REFERENCES</w:t>
      </w:r>
    </w:p>
    <w:p w:rsidR="009C5D74" w:rsidRPr="009C5D74" w:rsidRDefault="009C5D74" w:rsidP="009C5D74">
      <w:pPr>
        <w:pStyle w:val="Default"/>
        <w:ind w:left="284" w:hanging="284"/>
        <w:jc w:val="both"/>
        <w:rPr>
          <w:sz w:val="20"/>
          <w:szCs w:val="20"/>
        </w:rPr>
      </w:pPr>
      <w:r w:rsidRPr="009C5D74">
        <w:rPr>
          <w:sz w:val="20"/>
          <w:szCs w:val="20"/>
        </w:rPr>
        <w:t xml:space="preserve">Allen, </w:t>
      </w:r>
      <w:proofErr w:type="gramStart"/>
      <w:r w:rsidRPr="009C5D74">
        <w:rPr>
          <w:sz w:val="20"/>
          <w:szCs w:val="20"/>
        </w:rPr>
        <w:t>Thomas.,</w:t>
      </w:r>
      <w:proofErr w:type="gramEnd"/>
      <w:r w:rsidRPr="009C5D74">
        <w:rPr>
          <w:sz w:val="20"/>
          <w:szCs w:val="20"/>
        </w:rPr>
        <w:t xml:space="preserve"> Roberts, Allan P.,1989, “</w:t>
      </w:r>
      <w:r w:rsidRPr="009C5D74">
        <w:rPr>
          <w:i/>
          <w:iCs/>
          <w:sz w:val="20"/>
          <w:szCs w:val="20"/>
        </w:rPr>
        <w:t xml:space="preserve">Production Operations Volume 2”, </w:t>
      </w:r>
      <w:r w:rsidRPr="009C5D74">
        <w:rPr>
          <w:sz w:val="20"/>
          <w:szCs w:val="20"/>
        </w:rPr>
        <w:t>Oil and Gas International Consultants, Oklahoma.</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Carl T. Montgomery &amp; Michael Berry Smith, 2015, “</w:t>
      </w:r>
      <w:r w:rsidRPr="009C5D74">
        <w:rPr>
          <w:rFonts w:ascii="Times New Roman" w:hAnsi="Times New Roman"/>
          <w:i/>
          <w:sz w:val="20"/>
          <w:szCs w:val="20"/>
        </w:rPr>
        <w:t>Hydraulic Fracturing</w:t>
      </w:r>
      <w:r w:rsidRPr="009C5D74">
        <w:rPr>
          <w:rFonts w:ascii="Times New Roman" w:hAnsi="Times New Roman"/>
          <w:sz w:val="20"/>
          <w:szCs w:val="20"/>
        </w:rPr>
        <w:t>” CRC Press, Boca Raton.</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 xml:space="preserve">Economides, J. </w:t>
      </w:r>
      <w:proofErr w:type="gramStart"/>
      <w:r w:rsidRPr="009C5D74">
        <w:rPr>
          <w:rFonts w:ascii="Times New Roman" w:hAnsi="Times New Roman"/>
          <w:sz w:val="20"/>
          <w:szCs w:val="20"/>
        </w:rPr>
        <w:t>Michael.,</w:t>
      </w:r>
      <w:proofErr w:type="gramEnd"/>
      <w:r w:rsidRPr="009C5D74">
        <w:rPr>
          <w:rFonts w:ascii="Times New Roman" w:hAnsi="Times New Roman"/>
          <w:sz w:val="20"/>
          <w:szCs w:val="20"/>
        </w:rPr>
        <w:t xml:space="preserve"> Hill, Daniel A.,1994, “</w:t>
      </w:r>
      <w:r w:rsidRPr="009C5D74">
        <w:rPr>
          <w:rFonts w:ascii="Times New Roman" w:hAnsi="Times New Roman"/>
          <w:i/>
          <w:sz w:val="20"/>
          <w:szCs w:val="20"/>
        </w:rPr>
        <w:t>Petroleum Production System</w:t>
      </w:r>
      <w:r w:rsidRPr="009C5D74">
        <w:rPr>
          <w:rFonts w:ascii="Times New Roman" w:hAnsi="Times New Roman"/>
          <w:sz w:val="20"/>
          <w:szCs w:val="20"/>
        </w:rPr>
        <w:t>”, Prentice Hall PTR, New Jersey.</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 xml:space="preserve">Economides, J. Michael., </w:t>
      </w:r>
      <w:proofErr w:type="gramStart"/>
      <w:r w:rsidRPr="009C5D74">
        <w:rPr>
          <w:rFonts w:ascii="Times New Roman" w:hAnsi="Times New Roman"/>
          <w:sz w:val="20"/>
          <w:szCs w:val="20"/>
        </w:rPr>
        <w:t>Nolte.,</w:t>
      </w:r>
      <w:proofErr w:type="gramEnd"/>
      <w:r w:rsidRPr="009C5D74">
        <w:rPr>
          <w:rFonts w:ascii="Times New Roman" w:hAnsi="Times New Roman"/>
          <w:sz w:val="20"/>
          <w:szCs w:val="20"/>
        </w:rPr>
        <w:t xml:space="preserve"> K.G.,2000, “</w:t>
      </w:r>
      <w:r w:rsidRPr="009C5D74">
        <w:rPr>
          <w:rFonts w:ascii="Times New Roman" w:hAnsi="Times New Roman"/>
          <w:i/>
          <w:sz w:val="20"/>
          <w:szCs w:val="20"/>
        </w:rPr>
        <w:t>Reservoir Stimulation 3rd Edition</w:t>
      </w:r>
      <w:r w:rsidRPr="009C5D74">
        <w:rPr>
          <w:rFonts w:ascii="Times New Roman" w:hAnsi="Times New Roman"/>
          <w:sz w:val="20"/>
          <w:szCs w:val="20"/>
        </w:rPr>
        <w:t>”, Schlumberger Educational Services, Houston, Texas.</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Economides, J. Michael.</w:t>
      </w:r>
      <w:proofErr w:type="gramStart"/>
      <w:r w:rsidRPr="009C5D74">
        <w:rPr>
          <w:rFonts w:ascii="Times New Roman" w:hAnsi="Times New Roman"/>
          <w:sz w:val="20"/>
          <w:szCs w:val="20"/>
        </w:rPr>
        <w:t>,2007</w:t>
      </w:r>
      <w:proofErr w:type="gramEnd"/>
      <w:r w:rsidRPr="009C5D74">
        <w:rPr>
          <w:rFonts w:ascii="Times New Roman" w:hAnsi="Times New Roman"/>
          <w:sz w:val="20"/>
          <w:szCs w:val="20"/>
        </w:rPr>
        <w:t>, “</w:t>
      </w:r>
      <w:r w:rsidRPr="009C5D74">
        <w:rPr>
          <w:rFonts w:ascii="Times New Roman" w:hAnsi="Times New Roman"/>
          <w:i/>
          <w:sz w:val="20"/>
          <w:szCs w:val="20"/>
        </w:rPr>
        <w:t>Modern Fracturing Enhancing Natural Gas Production</w:t>
      </w:r>
      <w:r w:rsidRPr="009C5D74">
        <w:rPr>
          <w:rFonts w:ascii="Times New Roman" w:hAnsi="Times New Roman"/>
          <w:sz w:val="20"/>
          <w:szCs w:val="20"/>
        </w:rPr>
        <w:t>”, BJ Services Company, Houston, Texas.</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 xml:space="preserve">Feng Liang &amp; Mohammed </w:t>
      </w:r>
      <w:proofErr w:type="spellStart"/>
      <w:r w:rsidRPr="009C5D74">
        <w:rPr>
          <w:rFonts w:ascii="Times New Roman" w:hAnsi="Times New Roman"/>
          <w:sz w:val="20"/>
          <w:szCs w:val="20"/>
        </w:rPr>
        <w:t>Sayed</w:t>
      </w:r>
      <w:proofErr w:type="spellEnd"/>
      <w:r w:rsidRPr="009C5D74">
        <w:rPr>
          <w:rFonts w:ascii="Times New Roman" w:hAnsi="Times New Roman"/>
          <w:sz w:val="20"/>
          <w:szCs w:val="20"/>
        </w:rPr>
        <w:t>, 2015, “</w:t>
      </w:r>
      <w:r w:rsidRPr="009C5D74">
        <w:rPr>
          <w:rFonts w:ascii="Times New Roman" w:hAnsi="Times New Roman"/>
          <w:i/>
          <w:sz w:val="20"/>
          <w:szCs w:val="20"/>
        </w:rPr>
        <w:t xml:space="preserve">Overview of Existing </w:t>
      </w:r>
      <w:proofErr w:type="spellStart"/>
      <w:r w:rsidRPr="009C5D74">
        <w:rPr>
          <w:rFonts w:ascii="Times New Roman" w:hAnsi="Times New Roman"/>
          <w:i/>
          <w:sz w:val="20"/>
          <w:szCs w:val="20"/>
        </w:rPr>
        <w:t>Proppant</w:t>
      </w:r>
      <w:proofErr w:type="spellEnd"/>
      <w:r w:rsidRPr="009C5D74">
        <w:rPr>
          <w:rFonts w:ascii="Times New Roman" w:hAnsi="Times New Roman"/>
          <w:i/>
          <w:sz w:val="20"/>
          <w:szCs w:val="20"/>
        </w:rPr>
        <w:t xml:space="preserve"> Technologies and Challenges</w:t>
      </w:r>
      <w:r w:rsidRPr="009C5D74">
        <w:rPr>
          <w:rFonts w:ascii="Times New Roman" w:hAnsi="Times New Roman"/>
          <w:sz w:val="20"/>
          <w:szCs w:val="20"/>
        </w:rPr>
        <w:t>” SPE 172763-MS.</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 xml:space="preserve">Fred </w:t>
      </w:r>
      <w:proofErr w:type="spellStart"/>
      <w:r w:rsidRPr="009C5D74">
        <w:rPr>
          <w:rFonts w:ascii="Times New Roman" w:hAnsi="Times New Roman"/>
          <w:sz w:val="20"/>
          <w:szCs w:val="20"/>
        </w:rPr>
        <w:t>Aminzadeh</w:t>
      </w:r>
      <w:proofErr w:type="spellEnd"/>
      <w:r w:rsidRPr="009C5D74">
        <w:rPr>
          <w:rFonts w:ascii="Times New Roman" w:hAnsi="Times New Roman"/>
          <w:sz w:val="20"/>
          <w:szCs w:val="20"/>
        </w:rPr>
        <w:t>, 2019, “</w:t>
      </w:r>
      <w:r w:rsidRPr="009C5D74">
        <w:rPr>
          <w:rFonts w:ascii="Times New Roman" w:hAnsi="Times New Roman"/>
          <w:i/>
          <w:sz w:val="20"/>
          <w:szCs w:val="20"/>
        </w:rPr>
        <w:t>Hydraulic Fracturing and Well Stimulation</w:t>
      </w:r>
      <w:r w:rsidRPr="009C5D74">
        <w:rPr>
          <w:rFonts w:ascii="Times New Roman" w:hAnsi="Times New Roman"/>
          <w:sz w:val="20"/>
          <w:szCs w:val="20"/>
        </w:rPr>
        <w:t>”</w:t>
      </w:r>
      <w:proofErr w:type="gramStart"/>
      <w:r w:rsidRPr="009C5D74">
        <w:rPr>
          <w:rFonts w:ascii="Times New Roman" w:hAnsi="Times New Roman"/>
          <w:sz w:val="20"/>
          <w:szCs w:val="20"/>
        </w:rPr>
        <w:t>,  Scrivener</w:t>
      </w:r>
      <w:proofErr w:type="gramEnd"/>
      <w:r w:rsidRPr="009C5D74">
        <w:rPr>
          <w:rFonts w:ascii="Times New Roman" w:hAnsi="Times New Roman"/>
          <w:sz w:val="20"/>
          <w:szCs w:val="20"/>
        </w:rPr>
        <w:t xml:space="preserve"> Publishing LLC, River Street, Hoboken.</w:t>
      </w:r>
    </w:p>
    <w:p w:rsidR="009C5D74" w:rsidRPr="009C5D74" w:rsidRDefault="009C5D74" w:rsidP="009C5D74">
      <w:pPr>
        <w:spacing w:after="0" w:line="240" w:lineRule="auto"/>
        <w:ind w:left="284" w:hanging="284"/>
        <w:jc w:val="both"/>
        <w:rPr>
          <w:rFonts w:ascii="Times New Roman" w:hAnsi="Times New Roman"/>
          <w:sz w:val="20"/>
          <w:szCs w:val="20"/>
        </w:rPr>
      </w:pPr>
      <w:proofErr w:type="spellStart"/>
      <w:r w:rsidRPr="009C5D74">
        <w:rPr>
          <w:rFonts w:ascii="Times New Roman" w:hAnsi="Times New Roman"/>
          <w:sz w:val="20"/>
          <w:szCs w:val="20"/>
        </w:rPr>
        <w:t>Guo</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Buyon</w:t>
      </w:r>
      <w:proofErr w:type="spellEnd"/>
      <w:r w:rsidRPr="009C5D74">
        <w:rPr>
          <w:rFonts w:ascii="Times New Roman" w:hAnsi="Times New Roman"/>
          <w:sz w:val="20"/>
          <w:szCs w:val="20"/>
        </w:rPr>
        <w:t xml:space="preserve"> dkk</w:t>
      </w:r>
      <w:proofErr w:type="gramStart"/>
      <w:r w:rsidRPr="009C5D74">
        <w:rPr>
          <w:rFonts w:ascii="Times New Roman" w:hAnsi="Times New Roman"/>
          <w:sz w:val="20"/>
          <w:szCs w:val="20"/>
        </w:rPr>
        <w:t>,2017</w:t>
      </w:r>
      <w:proofErr w:type="gramEnd"/>
      <w:r w:rsidRPr="009C5D74">
        <w:rPr>
          <w:rFonts w:ascii="Times New Roman" w:hAnsi="Times New Roman"/>
          <w:sz w:val="20"/>
          <w:szCs w:val="20"/>
        </w:rPr>
        <w:t>, “</w:t>
      </w:r>
      <w:r w:rsidRPr="009C5D74">
        <w:rPr>
          <w:rFonts w:ascii="Times New Roman" w:hAnsi="Times New Roman"/>
          <w:i/>
          <w:sz w:val="20"/>
          <w:szCs w:val="20"/>
        </w:rPr>
        <w:t>Petroleum Production Engineering</w:t>
      </w:r>
      <w:r w:rsidRPr="009C5D74">
        <w:rPr>
          <w:rFonts w:ascii="Times New Roman" w:hAnsi="Times New Roman"/>
          <w:sz w:val="20"/>
          <w:szCs w:val="20"/>
        </w:rPr>
        <w:t>”, Professional Publishing, Oxford.</w:t>
      </w:r>
    </w:p>
    <w:p w:rsidR="009C5D74" w:rsidRPr="009C5D74" w:rsidRDefault="009C5D74" w:rsidP="009C5D74">
      <w:pPr>
        <w:spacing w:after="0" w:line="240" w:lineRule="auto"/>
        <w:ind w:left="284" w:hanging="284"/>
        <w:jc w:val="both"/>
        <w:rPr>
          <w:rFonts w:ascii="Times New Roman" w:hAnsi="Times New Roman"/>
          <w:sz w:val="20"/>
          <w:szCs w:val="20"/>
        </w:rPr>
      </w:pPr>
      <w:proofErr w:type="spellStart"/>
      <w:r w:rsidRPr="009C5D74">
        <w:rPr>
          <w:rFonts w:ascii="Times New Roman" w:hAnsi="Times New Roman"/>
          <w:sz w:val="20"/>
          <w:szCs w:val="20"/>
        </w:rPr>
        <w:t>Hoss</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Belyadi</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Ebrahim</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Fathi</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Fathemeh</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Belyadi</w:t>
      </w:r>
      <w:proofErr w:type="spellEnd"/>
      <w:r w:rsidRPr="009C5D74">
        <w:rPr>
          <w:rFonts w:ascii="Times New Roman" w:hAnsi="Times New Roman"/>
          <w:sz w:val="20"/>
          <w:szCs w:val="20"/>
        </w:rPr>
        <w:t>, 2017, “</w:t>
      </w:r>
      <w:r w:rsidRPr="009C5D74">
        <w:rPr>
          <w:rFonts w:ascii="Times New Roman" w:hAnsi="Times New Roman"/>
          <w:i/>
          <w:sz w:val="20"/>
          <w:szCs w:val="20"/>
        </w:rPr>
        <w:t xml:space="preserve">Hydraulic </w:t>
      </w:r>
      <w:proofErr w:type="spellStart"/>
      <w:r w:rsidRPr="009C5D74">
        <w:rPr>
          <w:rFonts w:ascii="Times New Roman" w:hAnsi="Times New Roman"/>
          <w:i/>
          <w:sz w:val="20"/>
          <w:szCs w:val="20"/>
        </w:rPr>
        <w:t>Fracturingin</w:t>
      </w:r>
      <w:proofErr w:type="spellEnd"/>
      <w:r w:rsidRPr="009C5D74">
        <w:rPr>
          <w:rFonts w:ascii="Times New Roman" w:hAnsi="Times New Roman"/>
          <w:i/>
          <w:sz w:val="20"/>
          <w:szCs w:val="20"/>
        </w:rPr>
        <w:t xml:space="preserve"> Unconventional Reservoirs: Theories, Operations, and Economic Analysis</w:t>
      </w:r>
      <w:r w:rsidRPr="009C5D74">
        <w:rPr>
          <w:rFonts w:ascii="Times New Roman" w:hAnsi="Times New Roman"/>
          <w:sz w:val="20"/>
          <w:szCs w:val="20"/>
        </w:rPr>
        <w:t xml:space="preserve">” Gulf Professional Publishing, </w:t>
      </w:r>
      <w:proofErr w:type="spellStart"/>
      <w:r w:rsidRPr="009C5D74">
        <w:rPr>
          <w:rFonts w:ascii="Times New Roman" w:hAnsi="Times New Roman"/>
          <w:sz w:val="20"/>
          <w:szCs w:val="20"/>
        </w:rPr>
        <w:t>Kidlington</w:t>
      </w:r>
      <w:proofErr w:type="spellEnd"/>
      <w:r w:rsidRPr="009C5D74">
        <w:rPr>
          <w:rFonts w:ascii="Times New Roman" w:hAnsi="Times New Roman"/>
          <w:sz w:val="20"/>
          <w:szCs w:val="20"/>
        </w:rPr>
        <w:t>, Oxford.</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Jack R. Jones and Larry K. Britt.</w:t>
      </w:r>
      <w:proofErr w:type="gramStart"/>
      <w:r w:rsidRPr="009C5D74">
        <w:rPr>
          <w:rFonts w:ascii="Times New Roman" w:hAnsi="Times New Roman"/>
          <w:sz w:val="20"/>
          <w:szCs w:val="20"/>
        </w:rPr>
        <w:t>,2009</w:t>
      </w:r>
      <w:proofErr w:type="gramEnd"/>
      <w:r w:rsidRPr="009C5D74">
        <w:rPr>
          <w:rFonts w:ascii="Times New Roman" w:hAnsi="Times New Roman"/>
          <w:sz w:val="20"/>
          <w:szCs w:val="20"/>
        </w:rPr>
        <w:t>, “</w:t>
      </w:r>
      <w:r w:rsidRPr="009C5D74">
        <w:rPr>
          <w:rFonts w:ascii="Times New Roman" w:hAnsi="Times New Roman"/>
          <w:i/>
          <w:sz w:val="20"/>
          <w:szCs w:val="20"/>
        </w:rPr>
        <w:t xml:space="preserve">Design and </w:t>
      </w:r>
      <w:proofErr w:type="spellStart"/>
      <w:r w:rsidRPr="009C5D74">
        <w:rPr>
          <w:rFonts w:ascii="Times New Roman" w:hAnsi="Times New Roman"/>
          <w:i/>
          <w:sz w:val="20"/>
          <w:szCs w:val="20"/>
        </w:rPr>
        <w:t>Apraisal</w:t>
      </w:r>
      <w:proofErr w:type="spellEnd"/>
      <w:r w:rsidRPr="009C5D74">
        <w:rPr>
          <w:rFonts w:ascii="Times New Roman" w:hAnsi="Times New Roman"/>
          <w:i/>
          <w:sz w:val="20"/>
          <w:szCs w:val="20"/>
        </w:rPr>
        <w:t xml:space="preserve"> of Hydraulic Fracturing</w:t>
      </w:r>
      <w:r w:rsidRPr="009C5D74">
        <w:rPr>
          <w:rFonts w:ascii="Times New Roman" w:hAnsi="Times New Roman"/>
          <w:sz w:val="20"/>
          <w:szCs w:val="20"/>
        </w:rPr>
        <w:t>,  Society Of Petroleum Engineers, United States</w:t>
      </w:r>
    </w:p>
    <w:p w:rsidR="009C5D74" w:rsidRPr="009C5D74" w:rsidRDefault="009C5D74" w:rsidP="009C5D74">
      <w:pPr>
        <w:spacing w:after="0" w:line="240" w:lineRule="auto"/>
        <w:ind w:left="284" w:hanging="284"/>
        <w:jc w:val="both"/>
        <w:rPr>
          <w:rFonts w:ascii="Times New Roman" w:hAnsi="Times New Roman"/>
          <w:sz w:val="20"/>
          <w:szCs w:val="20"/>
        </w:rPr>
      </w:pPr>
      <w:proofErr w:type="spellStart"/>
      <w:r w:rsidRPr="009C5D74">
        <w:rPr>
          <w:rFonts w:ascii="Times New Roman" w:hAnsi="Times New Roman"/>
          <w:sz w:val="20"/>
          <w:szCs w:val="20"/>
        </w:rPr>
        <w:t>Miskimins</w:t>
      </w:r>
      <w:proofErr w:type="spellEnd"/>
      <w:r w:rsidRPr="009C5D74">
        <w:rPr>
          <w:rFonts w:ascii="Times New Roman" w:hAnsi="Times New Roman"/>
          <w:sz w:val="20"/>
          <w:szCs w:val="20"/>
        </w:rPr>
        <w:t xml:space="preserve"> Jennifer, 2019, “</w:t>
      </w:r>
      <w:r w:rsidRPr="009C5D74">
        <w:rPr>
          <w:rFonts w:ascii="Times New Roman" w:hAnsi="Times New Roman"/>
          <w:i/>
          <w:sz w:val="20"/>
          <w:szCs w:val="20"/>
        </w:rPr>
        <w:t>Hydraulic Fracturing: Fundamentals and Advancements</w:t>
      </w:r>
      <w:r w:rsidRPr="009C5D74">
        <w:rPr>
          <w:rFonts w:ascii="Times New Roman" w:hAnsi="Times New Roman"/>
          <w:sz w:val="20"/>
          <w:szCs w:val="20"/>
        </w:rPr>
        <w:t>, Society of Petroleum Engineers, Texas.</w:t>
      </w:r>
    </w:p>
    <w:p w:rsidR="009C5D74" w:rsidRPr="009C5D74" w:rsidRDefault="009C5D74" w:rsidP="009C5D74">
      <w:pPr>
        <w:spacing w:after="0" w:line="240" w:lineRule="auto"/>
        <w:ind w:left="284" w:hanging="284"/>
        <w:jc w:val="both"/>
        <w:rPr>
          <w:rFonts w:ascii="Times New Roman" w:hAnsi="Times New Roman"/>
          <w:sz w:val="20"/>
          <w:szCs w:val="20"/>
        </w:rPr>
      </w:pPr>
      <w:r w:rsidRPr="009C5D74">
        <w:rPr>
          <w:rFonts w:ascii="Times New Roman" w:hAnsi="Times New Roman"/>
          <w:sz w:val="20"/>
          <w:szCs w:val="20"/>
        </w:rPr>
        <w:t>Suwardi</w:t>
      </w:r>
      <w:proofErr w:type="gramStart"/>
      <w:r w:rsidRPr="009C5D74">
        <w:rPr>
          <w:rFonts w:ascii="Times New Roman" w:hAnsi="Times New Roman"/>
          <w:sz w:val="20"/>
          <w:szCs w:val="20"/>
        </w:rPr>
        <w:t>,2009</w:t>
      </w:r>
      <w:proofErr w:type="gramEnd"/>
      <w:r w:rsidRPr="009C5D74">
        <w:rPr>
          <w:rFonts w:ascii="Times New Roman" w:hAnsi="Times New Roman"/>
          <w:sz w:val="20"/>
          <w:szCs w:val="20"/>
        </w:rPr>
        <w:t>, “</w:t>
      </w:r>
      <w:proofErr w:type="spellStart"/>
      <w:r w:rsidRPr="009C5D74">
        <w:rPr>
          <w:rFonts w:ascii="Times New Roman" w:hAnsi="Times New Roman"/>
          <w:i/>
          <w:sz w:val="20"/>
          <w:szCs w:val="20"/>
        </w:rPr>
        <w:t>Evaluasi</w:t>
      </w:r>
      <w:proofErr w:type="spellEnd"/>
      <w:r w:rsidRPr="009C5D74">
        <w:rPr>
          <w:rFonts w:ascii="Times New Roman" w:hAnsi="Times New Roman"/>
          <w:i/>
          <w:sz w:val="20"/>
          <w:szCs w:val="20"/>
        </w:rPr>
        <w:t xml:space="preserve"> Hydraulic Fracturing </w:t>
      </w:r>
      <w:proofErr w:type="spellStart"/>
      <w:r w:rsidRPr="009C5D74">
        <w:rPr>
          <w:rFonts w:ascii="Times New Roman" w:hAnsi="Times New Roman"/>
          <w:i/>
          <w:sz w:val="20"/>
          <w:szCs w:val="20"/>
        </w:rPr>
        <w:t>dalam</w:t>
      </w:r>
      <w:proofErr w:type="spellEnd"/>
      <w:r w:rsidRPr="009C5D74">
        <w:rPr>
          <w:rFonts w:ascii="Times New Roman" w:hAnsi="Times New Roman"/>
          <w:i/>
          <w:sz w:val="20"/>
          <w:szCs w:val="20"/>
        </w:rPr>
        <w:t xml:space="preserve"> </w:t>
      </w:r>
      <w:proofErr w:type="spellStart"/>
      <w:r w:rsidRPr="009C5D74">
        <w:rPr>
          <w:rFonts w:ascii="Times New Roman" w:hAnsi="Times New Roman"/>
          <w:i/>
          <w:sz w:val="20"/>
          <w:szCs w:val="20"/>
        </w:rPr>
        <w:t>Rangka</w:t>
      </w:r>
      <w:proofErr w:type="spellEnd"/>
      <w:r w:rsidRPr="009C5D74">
        <w:rPr>
          <w:rFonts w:ascii="Times New Roman" w:hAnsi="Times New Roman"/>
          <w:i/>
          <w:sz w:val="20"/>
          <w:szCs w:val="20"/>
        </w:rPr>
        <w:t xml:space="preserve"> </w:t>
      </w:r>
      <w:proofErr w:type="spellStart"/>
      <w:r w:rsidRPr="009C5D74">
        <w:rPr>
          <w:rFonts w:ascii="Times New Roman" w:hAnsi="Times New Roman"/>
          <w:i/>
          <w:sz w:val="20"/>
          <w:szCs w:val="20"/>
        </w:rPr>
        <w:t>Peningkatan</w:t>
      </w:r>
      <w:proofErr w:type="spellEnd"/>
      <w:r w:rsidRPr="009C5D74">
        <w:rPr>
          <w:rFonts w:ascii="Times New Roman" w:hAnsi="Times New Roman"/>
          <w:i/>
          <w:sz w:val="20"/>
          <w:szCs w:val="20"/>
        </w:rPr>
        <w:t xml:space="preserve"> </w:t>
      </w:r>
      <w:proofErr w:type="spellStart"/>
      <w:r w:rsidRPr="009C5D74">
        <w:rPr>
          <w:rFonts w:ascii="Times New Roman" w:hAnsi="Times New Roman"/>
          <w:i/>
          <w:sz w:val="20"/>
          <w:szCs w:val="20"/>
        </w:rPr>
        <w:t>Produktivitas</w:t>
      </w:r>
      <w:proofErr w:type="spellEnd"/>
      <w:r w:rsidRPr="009C5D74">
        <w:rPr>
          <w:rFonts w:ascii="Times New Roman" w:hAnsi="Times New Roman"/>
          <w:i/>
          <w:sz w:val="20"/>
          <w:szCs w:val="20"/>
        </w:rPr>
        <w:t xml:space="preserve"> </w:t>
      </w:r>
      <w:proofErr w:type="spellStart"/>
      <w:r w:rsidRPr="009C5D74">
        <w:rPr>
          <w:rFonts w:ascii="Times New Roman" w:hAnsi="Times New Roman"/>
          <w:i/>
          <w:sz w:val="20"/>
          <w:szCs w:val="20"/>
        </w:rPr>
        <w:t>Formasi</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Jurnal</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Ilmu</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Kebumian</w:t>
      </w:r>
      <w:proofErr w:type="spellEnd"/>
      <w:r w:rsidRPr="009C5D74">
        <w:rPr>
          <w:rFonts w:ascii="Times New Roman" w:hAnsi="Times New Roman"/>
          <w:sz w:val="20"/>
          <w:szCs w:val="20"/>
        </w:rPr>
        <w:t xml:space="preserve"> Teknologi Mineral Vol. 22, </w:t>
      </w:r>
      <w:proofErr w:type="spellStart"/>
      <w:r w:rsidRPr="009C5D74">
        <w:rPr>
          <w:rFonts w:ascii="Times New Roman" w:hAnsi="Times New Roman"/>
          <w:sz w:val="20"/>
          <w:szCs w:val="20"/>
        </w:rPr>
        <w:t>Universitas</w:t>
      </w:r>
      <w:proofErr w:type="spellEnd"/>
      <w:r w:rsidRPr="009C5D74">
        <w:rPr>
          <w:rFonts w:ascii="Times New Roman" w:hAnsi="Times New Roman"/>
          <w:sz w:val="20"/>
          <w:szCs w:val="20"/>
        </w:rPr>
        <w:t xml:space="preserve"> Pembangunan </w:t>
      </w:r>
      <w:proofErr w:type="spellStart"/>
      <w:r w:rsidRPr="009C5D74">
        <w:rPr>
          <w:rFonts w:ascii="Times New Roman" w:hAnsi="Times New Roman"/>
          <w:sz w:val="20"/>
          <w:szCs w:val="20"/>
        </w:rPr>
        <w:t>Nasional</w:t>
      </w:r>
      <w:proofErr w:type="spellEnd"/>
      <w:r w:rsidRPr="009C5D74">
        <w:rPr>
          <w:rFonts w:ascii="Times New Roman" w:hAnsi="Times New Roman"/>
          <w:sz w:val="20"/>
          <w:szCs w:val="20"/>
        </w:rPr>
        <w:t xml:space="preserve"> Veteran Yogyakarta.</w:t>
      </w:r>
    </w:p>
    <w:p w:rsidR="003F027F" w:rsidRPr="009C5D74" w:rsidRDefault="009C5D74" w:rsidP="009C5D74">
      <w:pPr>
        <w:spacing w:after="120" w:line="240" w:lineRule="auto"/>
        <w:jc w:val="both"/>
        <w:rPr>
          <w:rFonts w:ascii="Times New Roman" w:eastAsia="Times New Roman" w:hAnsi="Times New Roman"/>
          <w:sz w:val="20"/>
          <w:szCs w:val="20"/>
        </w:rPr>
      </w:pPr>
      <w:r w:rsidRPr="009C5D74">
        <w:rPr>
          <w:rFonts w:ascii="Times New Roman" w:hAnsi="Times New Roman"/>
          <w:sz w:val="20"/>
          <w:szCs w:val="20"/>
        </w:rPr>
        <w:t xml:space="preserve">V. P. P. de Campos, E. C. </w:t>
      </w:r>
      <w:proofErr w:type="spellStart"/>
      <w:r w:rsidRPr="009C5D74">
        <w:rPr>
          <w:rFonts w:ascii="Times New Roman" w:hAnsi="Times New Roman"/>
          <w:sz w:val="20"/>
          <w:szCs w:val="20"/>
        </w:rPr>
        <w:t>Sansone</w:t>
      </w:r>
      <w:proofErr w:type="spellEnd"/>
      <w:r w:rsidRPr="009C5D74">
        <w:rPr>
          <w:rFonts w:ascii="Times New Roman" w:hAnsi="Times New Roman"/>
          <w:sz w:val="20"/>
          <w:szCs w:val="20"/>
        </w:rPr>
        <w:t>, and G. F. B. L. e Silva, 2018, “</w:t>
      </w:r>
      <w:r w:rsidRPr="009C5D74">
        <w:rPr>
          <w:rFonts w:ascii="Times New Roman" w:hAnsi="Times New Roman"/>
          <w:i/>
          <w:sz w:val="20"/>
          <w:szCs w:val="20"/>
        </w:rPr>
        <w:t xml:space="preserve">Hydraulic Fracturing </w:t>
      </w:r>
      <w:proofErr w:type="spellStart"/>
      <w:r w:rsidRPr="009C5D74">
        <w:rPr>
          <w:rFonts w:ascii="Times New Roman" w:hAnsi="Times New Roman"/>
          <w:i/>
          <w:sz w:val="20"/>
          <w:szCs w:val="20"/>
        </w:rPr>
        <w:t>Proppants</w:t>
      </w:r>
      <w:proofErr w:type="spellEnd"/>
      <w:r w:rsidRPr="009C5D74">
        <w:rPr>
          <w:rFonts w:ascii="Times New Roman" w:hAnsi="Times New Roman"/>
          <w:sz w:val="20"/>
          <w:szCs w:val="20"/>
        </w:rPr>
        <w:t xml:space="preserve">” </w:t>
      </w:r>
      <w:proofErr w:type="spellStart"/>
      <w:r w:rsidRPr="009C5D74">
        <w:rPr>
          <w:rFonts w:ascii="Times New Roman" w:hAnsi="Times New Roman"/>
          <w:sz w:val="20"/>
          <w:szCs w:val="20"/>
        </w:rPr>
        <w:t>Cerâmica</w:t>
      </w:r>
      <w:proofErr w:type="spellEnd"/>
      <w:r w:rsidRPr="009C5D74">
        <w:rPr>
          <w:rFonts w:ascii="Times New Roman" w:hAnsi="Times New Roman"/>
          <w:sz w:val="20"/>
          <w:szCs w:val="20"/>
        </w:rPr>
        <w:t>, 219-229.</w:t>
      </w:r>
    </w:p>
    <w:sectPr w:rsidR="003F027F" w:rsidRPr="009C5D74" w:rsidSect="00266C68">
      <w:headerReference w:type="default" r:id="rId15"/>
      <w:pgSz w:w="11907" w:h="16839" w:code="9"/>
      <w:pgMar w:top="1418" w:right="851" w:bottom="1418" w:left="1418"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19" w:rsidRDefault="00483B19" w:rsidP="005318FB">
      <w:pPr>
        <w:spacing w:after="0" w:line="240" w:lineRule="auto"/>
      </w:pPr>
      <w:r>
        <w:separator/>
      </w:r>
    </w:p>
  </w:endnote>
  <w:endnote w:type="continuationSeparator" w:id="0">
    <w:p w:rsidR="00483B19" w:rsidRDefault="00483B19" w:rsidP="0053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19" w:rsidRDefault="00483B19" w:rsidP="005318FB">
      <w:pPr>
        <w:spacing w:after="0" w:line="240" w:lineRule="auto"/>
      </w:pPr>
      <w:r>
        <w:separator/>
      </w:r>
    </w:p>
  </w:footnote>
  <w:footnote w:type="continuationSeparator" w:id="0">
    <w:p w:rsidR="00483B19" w:rsidRDefault="00483B19" w:rsidP="00531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7" w:type="pct"/>
      <w:tblInd w:w="578" w:type="dxa"/>
      <w:tblCellMar>
        <w:top w:w="72" w:type="dxa"/>
        <w:left w:w="115" w:type="dxa"/>
        <w:bottom w:w="72" w:type="dxa"/>
        <w:right w:w="115" w:type="dxa"/>
      </w:tblCellMar>
      <w:tblLook w:val="04A0" w:firstRow="1" w:lastRow="0" w:firstColumn="1" w:lastColumn="0" w:noHBand="0" w:noVBand="1"/>
    </w:tblPr>
    <w:tblGrid>
      <w:gridCol w:w="7090"/>
      <w:gridCol w:w="1983"/>
    </w:tblGrid>
    <w:tr w:rsidR="00CE1990" w:rsidTr="00CE1990">
      <w:tc>
        <w:tcPr>
          <w:tcW w:w="3907" w:type="pct"/>
          <w:tcBorders>
            <w:bottom w:val="single" w:sz="4" w:space="0" w:color="auto"/>
          </w:tcBorders>
          <w:vAlign w:val="bottom"/>
        </w:tcPr>
        <w:p w:rsidR="00CE1990" w:rsidRPr="00CE1990" w:rsidRDefault="00CE1990" w:rsidP="00CE1990">
          <w:pPr>
            <w:pStyle w:val="Header"/>
            <w:rPr>
              <w:noProof/>
              <w:color w:val="76923C" w:themeColor="accent3" w:themeShade="BF"/>
              <w:sz w:val="24"/>
              <w:szCs w:val="24"/>
            </w:rPr>
          </w:pPr>
          <w:r>
            <w:rPr>
              <w:rFonts w:ascii="Arial" w:hAnsi="Arial" w:cs="Arial"/>
              <w:noProof/>
              <w:sz w:val="20"/>
              <w:szCs w:val="20"/>
            </w:rPr>
            <w:drawing>
              <wp:anchor distT="0" distB="0" distL="114300" distR="114300" simplePos="0" relativeHeight="251658240" behindDoc="1" locked="0" layoutInCell="1" allowOverlap="1" wp14:anchorId="3A61C41D" wp14:editId="53AD633A">
                <wp:simplePos x="0" y="0"/>
                <wp:positionH relativeFrom="column">
                  <wp:posOffset>-789940</wp:posOffset>
                </wp:positionH>
                <wp:positionV relativeFrom="paragraph">
                  <wp:posOffset>-335280</wp:posOffset>
                </wp:positionV>
                <wp:extent cx="701040" cy="701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CE1990">
            <w:rPr>
              <w:b/>
              <w:bCs/>
              <w:color w:val="76923C" w:themeColor="accent3" w:themeShade="BF"/>
              <w:sz w:val="24"/>
              <w:szCs w:val="24"/>
            </w:rPr>
            <w:t>[</w:t>
          </w:r>
          <w:sdt>
            <w:sdtPr>
              <w:rPr>
                <w:b/>
                <w:bCs/>
                <w:caps/>
                <w:sz w:val="24"/>
                <w:szCs w:val="24"/>
              </w:rPr>
              <w:alias w:val="Title"/>
              <w:id w:val="77677295"/>
              <w:placeholder>
                <w:docPart w:val="F64617C16B4647468B76BCADBA583875"/>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Journal of PETROLEUM AND GEOTHERMAL Technology (JPGT)</w:t>
              </w:r>
            </w:sdtContent>
          </w:sdt>
          <w:r w:rsidRPr="00CE1990">
            <w:rPr>
              <w:b/>
              <w:bCs/>
              <w:color w:val="76923C" w:themeColor="accent3" w:themeShade="BF"/>
              <w:sz w:val="24"/>
              <w:szCs w:val="24"/>
            </w:rPr>
            <w:t>]</w:t>
          </w:r>
        </w:p>
      </w:tc>
      <w:sdt>
        <w:sdtPr>
          <w:rPr>
            <w:color w:val="FFFFFF" w:themeColor="background1"/>
          </w:rPr>
          <w:alias w:val="Date"/>
          <w:id w:val="77677290"/>
          <w:placeholder>
            <w:docPart w:val="E702CD5CECE54A43AACCEDF6F4D78C9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093" w:type="pct"/>
              <w:tcBorders>
                <w:bottom w:val="single" w:sz="4" w:space="0" w:color="943634" w:themeColor="accent2" w:themeShade="BF"/>
              </w:tcBorders>
              <w:shd w:val="clear" w:color="auto" w:fill="943634" w:themeFill="accent2" w:themeFillShade="BF"/>
              <w:vAlign w:val="bottom"/>
            </w:tcPr>
            <w:p w:rsidR="00CE1990" w:rsidRDefault="00CE1990" w:rsidP="00CE1990">
              <w:pPr>
                <w:pStyle w:val="Header"/>
                <w:rPr>
                  <w:color w:val="FFFFFF" w:themeColor="background1"/>
                </w:rPr>
              </w:pPr>
              <w:r>
                <w:rPr>
                  <w:color w:val="FFFFFF" w:themeColor="background1"/>
                </w:rPr>
                <w:t>Vol.1 No. 1 2020</w:t>
              </w:r>
            </w:p>
          </w:tc>
        </w:sdtContent>
      </w:sdt>
    </w:tr>
  </w:tbl>
  <w:p w:rsidR="00B202CC" w:rsidRPr="00E410AF" w:rsidRDefault="00B202CC" w:rsidP="0027139D">
    <w:pPr>
      <w:pStyle w:val="Header"/>
      <w:tabs>
        <w:tab w:val="clear" w:pos="4680"/>
      </w:tabs>
      <w:ind w:left="7655" w:hanging="6237"/>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E2"/>
    <w:multiLevelType w:val="multilevel"/>
    <w:tmpl w:val="BBC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E45D3"/>
    <w:multiLevelType w:val="hybridMultilevel"/>
    <w:tmpl w:val="8418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928C9"/>
    <w:multiLevelType w:val="hybridMultilevel"/>
    <w:tmpl w:val="E28E002A"/>
    <w:lvl w:ilvl="0" w:tplc="AE62679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23EFF"/>
    <w:multiLevelType w:val="hybridMultilevel"/>
    <w:tmpl w:val="4E2A11EE"/>
    <w:lvl w:ilvl="0" w:tplc="18969FAE">
      <w:start w:val="2"/>
      <w:numFmt w:val="bullet"/>
      <w:lvlText w:val=""/>
      <w:lvlJc w:val="left"/>
      <w:pPr>
        <w:ind w:left="3479" w:hanging="360"/>
      </w:pPr>
      <w:rPr>
        <w:rFonts w:ascii="Symbol" w:eastAsia="Calibri" w:hAnsi="Symbol" w:cs="Times New Roman" w:hint="default"/>
      </w:rPr>
    </w:lvl>
    <w:lvl w:ilvl="1" w:tplc="04210003" w:tentative="1">
      <w:start w:val="1"/>
      <w:numFmt w:val="bullet"/>
      <w:lvlText w:val="o"/>
      <w:lvlJc w:val="left"/>
      <w:pPr>
        <w:ind w:left="4199" w:hanging="360"/>
      </w:pPr>
      <w:rPr>
        <w:rFonts w:ascii="Courier New" w:hAnsi="Courier New" w:cs="Courier New" w:hint="default"/>
      </w:rPr>
    </w:lvl>
    <w:lvl w:ilvl="2" w:tplc="04210005" w:tentative="1">
      <w:start w:val="1"/>
      <w:numFmt w:val="bullet"/>
      <w:lvlText w:val=""/>
      <w:lvlJc w:val="left"/>
      <w:pPr>
        <w:ind w:left="4919" w:hanging="360"/>
      </w:pPr>
      <w:rPr>
        <w:rFonts w:ascii="Wingdings" w:hAnsi="Wingdings" w:hint="default"/>
      </w:rPr>
    </w:lvl>
    <w:lvl w:ilvl="3" w:tplc="04210001" w:tentative="1">
      <w:start w:val="1"/>
      <w:numFmt w:val="bullet"/>
      <w:lvlText w:val=""/>
      <w:lvlJc w:val="left"/>
      <w:pPr>
        <w:ind w:left="5639" w:hanging="360"/>
      </w:pPr>
      <w:rPr>
        <w:rFonts w:ascii="Symbol" w:hAnsi="Symbol" w:hint="default"/>
      </w:rPr>
    </w:lvl>
    <w:lvl w:ilvl="4" w:tplc="04210003" w:tentative="1">
      <w:start w:val="1"/>
      <w:numFmt w:val="bullet"/>
      <w:lvlText w:val="o"/>
      <w:lvlJc w:val="left"/>
      <w:pPr>
        <w:ind w:left="6359" w:hanging="360"/>
      </w:pPr>
      <w:rPr>
        <w:rFonts w:ascii="Courier New" w:hAnsi="Courier New" w:cs="Courier New" w:hint="default"/>
      </w:rPr>
    </w:lvl>
    <w:lvl w:ilvl="5" w:tplc="04210005" w:tentative="1">
      <w:start w:val="1"/>
      <w:numFmt w:val="bullet"/>
      <w:lvlText w:val=""/>
      <w:lvlJc w:val="left"/>
      <w:pPr>
        <w:ind w:left="7079" w:hanging="360"/>
      </w:pPr>
      <w:rPr>
        <w:rFonts w:ascii="Wingdings" w:hAnsi="Wingdings" w:hint="default"/>
      </w:rPr>
    </w:lvl>
    <w:lvl w:ilvl="6" w:tplc="04210001" w:tentative="1">
      <w:start w:val="1"/>
      <w:numFmt w:val="bullet"/>
      <w:lvlText w:val=""/>
      <w:lvlJc w:val="left"/>
      <w:pPr>
        <w:ind w:left="7799" w:hanging="360"/>
      </w:pPr>
      <w:rPr>
        <w:rFonts w:ascii="Symbol" w:hAnsi="Symbol" w:hint="default"/>
      </w:rPr>
    </w:lvl>
    <w:lvl w:ilvl="7" w:tplc="04210003" w:tentative="1">
      <w:start w:val="1"/>
      <w:numFmt w:val="bullet"/>
      <w:lvlText w:val="o"/>
      <w:lvlJc w:val="left"/>
      <w:pPr>
        <w:ind w:left="8519" w:hanging="360"/>
      </w:pPr>
      <w:rPr>
        <w:rFonts w:ascii="Courier New" w:hAnsi="Courier New" w:cs="Courier New" w:hint="default"/>
      </w:rPr>
    </w:lvl>
    <w:lvl w:ilvl="8" w:tplc="04210005" w:tentative="1">
      <w:start w:val="1"/>
      <w:numFmt w:val="bullet"/>
      <w:lvlText w:val=""/>
      <w:lvlJc w:val="left"/>
      <w:pPr>
        <w:ind w:left="9239" w:hanging="360"/>
      </w:pPr>
      <w:rPr>
        <w:rFonts w:ascii="Wingdings" w:hAnsi="Wingdings" w:hint="default"/>
      </w:rPr>
    </w:lvl>
  </w:abstractNum>
  <w:abstractNum w:abstractNumId="4">
    <w:nsid w:val="4BB8204C"/>
    <w:multiLevelType w:val="hybridMultilevel"/>
    <w:tmpl w:val="CDC48CF0"/>
    <w:lvl w:ilvl="0" w:tplc="C7C69384">
      <w:start w:val="1"/>
      <w:numFmt w:val="bullet"/>
      <w:lvlText w:val="-"/>
      <w:lvlJc w:val="left"/>
      <w:pPr>
        <w:ind w:left="927" w:hanging="360"/>
      </w:pPr>
      <w:rPr>
        <w:rFonts w:ascii="Times New Roman" w:eastAsia="Calibr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5">
    <w:nsid w:val="5CA852A6"/>
    <w:multiLevelType w:val="hybridMultilevel"/>
    <w:tmpl w:val="E96687DE"/>
    <w:lvl w:ilvl="0" w:tplc="ADBE04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50F2E67"/>
    <w:multiLevelType w:val="hybridMultilevel"/>
    <w:tmpl w:val="C472E5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22"/>
    <w:rsid w:val="00000093"/>
    <w:rsid w:val="00010E60"/>
    <w:rsid w:val="00012204"/>
    <w:rsid w:val="0003562C"/>
    <w:rsid w:val="00064923"/>
    <w:rsid w:val="00066582"/>
    <w:rsid w:val="00080019"/>
    <w:rsid w:val="000A2B22"/>
    <w:rsid w:val="000C6840"/>
    <w:rsid w:val="0013501C"/>
    <w:rsid w:val="0018484B"/>
    <w:rsid w:val="001B0E3A"/>
    <w:rsid w:val="001B634F"/>
    <w:rsid w:val="00213234"/>
    <w:rsid w:val="00232103"/>
    <w:rsid w:val="002429F5"/>
    <w:rsid w:val="0024302B"/>
    <w:rsid w:val="00263A12"/>
    <w:rsid w:val="00266C68"/>
    <w:rsid w:val="00267376"/>
    <w:rsid w:val="0027139D"/>
    <w:rsid w:val="00286B29"/>
    <w:rsid w:val="002A6235"/>
    <w:rsid w:val="002A69C4"/>
    <w:rsid w:val="002A6E66"/>
    <w:rsid w:val="002C1023"/>
    <w:rsid w:val="002C3931"/>
    <w:rsid w:val="0033569C"/>
    <w:rsid w:val="003429E7"/>
    <w:rsid w:val="00347577"/>
    <w:rsid w:val="00354440"/>
    <w:rsid w:val="00361D60"/>
    <w:rsid w:val="00390417"/>
    <w:rsid w:val="003973ED"/>
    <w:rsid w:val="003C2FCF"/>
    <w:rsid w:val="003E1C62"/>
    <w:rsid w:val="003E6734"/>
    <w:rsid w:val="003F027F"/>
    <w:rsid w:val="004311E5"/>
    <w:rsid w:val="004369A4"/>
    <w:rsid w:val="00442B37"/>
    <w:rsid w:val="00483B19"/>
    <w:rsid w:val="004C4C0A"/>
    <w:rsid w:val="004D3050"/>
    <w:rsid w:val="00512C29"/>
    <w:rsid w:val="005318FB"/>
    <w:rsid w:val="005360EE"/>
    <w:rsid w:val="00542534"/>
    <w:rsid w:val="00543FED"/>
    <w:rsid w:val="00554515"/>
    <w:rsid w:val="00584F23"/>
    <w:rsid w:val="005947C5"/>
    <w:rsid w:val="005C141B"/>
    <w:rsid w:val="006354C2"/>
    <w:rsid w:val="00656613"/>
    <w:rsid w:val="0068792D"/>
    <w:rsid w:val="006B3FAA"/>
    <w:rsid w:val="006E2E40"/>
    <w:rsid w:val="0071495C"/>
    <w:rsid w:val="007255F5"/>
    <w:rsid w:val="007614B0"/>
    <w:rsid w:val="007C09B9"/>
    <w:rsid w:val="00835998"/>
    <w:rsid w:val="008537B9"/>
    <w:rsid w:val="008610A6"/>
    <w:rsid w:val="00882995"/>
    <w:rsid w:val="0089508E"/>
    <w:rsid w:val="008969CF"/>
    <w:rsid w:val="008C5A18"/>
    <w:rsid w:val="008E50A6"/>
    <w:rsid w:val="00902523"/>
    <w:rsid w:val="00910A6D"/>
    <w:rsid w:val="00932EE3"/>
    <w:rsid w:val="00945CA3"/>
    <w:rsid w:val="0094658F"/>
    <w:rsid w:val="0097163A"/>
    <w:rsid w:val="009C5D74"/>
    <w:rsid w:val="009E513A"/>
    <w:rsid w:val="009F1388"/>
    <w:rsid w:val="00A04A9E"/>
    <w:rsid w:val="00A14C44"/>
    <w:rsid w:val="00A16819"/>
    <w:rsid w:val="00A21AE6"/>
    <w:rsid w:val="00A26C60"/>
    <w:rsid w:val="00A327A8"/>
    <w:rsid w:val="00A36B1A"/>
    <w:rsid w:val="00B202CC"/>
    <w:rsid w:val="00B21377"/>
    <w:rsid w:val="00B42531"/>
    <w:rsid w:val="00B4455C"/>
    <w:rsid w:val="00B5591F"/>
    <w:rsid w:val="00B96938"/>
    <w:rsid w:val="00BB4B42"/>
    <w:rsid w:val="00BC49E9"/>
    <w:rsid w:val="00BD5460"/>
    <w:rsid w:val="00BD6DD5"/>
    <w:rsid w:val="00C035B0"/>
    <w:rsid w:val="00C32A56"/>
    <w:rsid w:val="00C50F95"/>
    <w:rsid w:val="00C9499B"/>
    <w:rsid w:val="00C97FE8"/>
    <w:rsid w:val="00CD3EB8"/>
    <w:rsid w:val="00CE1990"/>
    <w:rsid w:val="00CF5B82"/>
    <w:rsid w:val="00D16E1D"/>
    <w:rsid w:val="00D304E2"/>
    <w:rsid w:val="00D3057D"/>
    <w:rsid w:val="00D3719F"/>
    <w:rsid w:val="00D54C2B"/>
    <w:rsid w:val="00D81D83"/>
    <w:rsid w:val="00D8260D"/>
    <w:rsid w:val="00D96D54"/>
    <w:rsid w:val="00DB6585"/>
    <w:rsid w:val="00E35179"/>
    <w:rsid w:val="00E37F5A"/>
    <w:rsid w:val="00E410AF"/>
    <w:rsid w:val="00E62BFF"/>
    <w:rsid w:val="00E661CB"/>
    <w:rsid w:val="00E67A98"/>
    <w:rsid w:val="00E70833"/>
    <w:rsid w:val="00E740C2"/>
    <w:rsid w:val="00E85077"/>
    <w:rsid w:val="00EC6FDB"/>
    <w:rsid w:val="00EE498D"/>
    <w:rsid w:val="00EF1116"/>
    <w:rsid w:val="00F03092"/>
    <w:rsid w:val="00F03F8C"/>
    <w:rsid w:val="00F145BA"/>
    <w:rsid w:val="00F33C1E"/>
    <w:rsid w:val="00F54D12"/>
    <w:rsid w:val="00FA3FCA"/>
    <w:rsid w:val="00FB05AE"/>
    <w:rsid w:val="00FB1564"/>
    <w:rsid w:val="00FC1E34"/>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9F"/>
    <w:pPr>
      <w:spacing w:after="200" w:line="276" w:lineRule="auto"/>
    </w:pPr>
    <w:rPr>
      <w:sz w:val="22"/>
      <w:szCs w:val="22"/>
    </w:rPr>
  </w:style>
  <w:style w:type="paragraph" w:styleId="Heading1">
    <w:name w:val="heading 1"/>
    <w:basedOn w:val="Normal"/>
    <w:next w:val="Normal"/>
    <w:link w:val="Heading1Char"/>
    <w:uiPriority w:val="9"/>
    <w:qFormat/>
    <w:rsid w:val="00E410AF"/>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FB"/>
  </w:style>
  <w:style w:type="paragraph" w:styleId="Footer">
    <w:name w:val="footer"/>
    <w:basedOn w:val="Normal"/>
    <w:link w:val="FooterChar"/>
    <w:uiPriority w:val="99"/>
    <w:unhideWhenUsed/>
    <w:rsid w:val="0053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FB"/>
  </w:style>
  <w:style w:type="paragraph" w:styleId="BalloonText">
    <w:name w:val="Balloon Text"/>
    <w:basedOn w:val="Normal"/>
    <w:link w:val="BalloonTextChar"/>
    <w:uiPriority w:val="99"/>
    <w:semiHidden/>
    <w:unhideWhenUsed/>
    <w:rsid w:val="00E410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10AF"/>
    <w:rPr>
      <w:rFonts w:ascii="Tahoma" w:hAnsi="Tahoma" w:cs="Tahoma"/>
      <w:sz w:val="16"/>
      <w:szCs w:val="16"/>
    </w:rPr>
  </w:style>
  <w:style w:type="character" w:customStyle="1" w:styleId="Heading1Char">
    <w:name w:val="Heading 1 Char"/>
    <w:link w:val="Heading1"/>
    <w:uiPriority w:val="9"/>
    <w:rsid w:val="00E410AF"/>
    <w:rPr>
      <w:rFonts w:ascii="Cambria" w:eastAsia="Times New Roman" w:hAnsi="Cambria" w:cs="Times New Roman"/>
      <w:b/>
      <w:bCs/>
      <w:color w:val="365F91"/>
      <w:sz w:val="28"/>
      <w:szCs w:val="28"/>
      <w:lang w:bidi="en-US"/>
    </w:rPr>
  </w:style>
  <w:style w:type="paragraph" w:styleId="NoSpacing">
    <w:name w:val="No Spacing"/>
    <w:link w:val="NoSpacingChar"/>
    <w:uiPriority w:val="1"/>
    <w:qFormat/>
    <w:rsid w:val="00EC6FDB"/>
    <w:rPr>
      <w:sz w:val="22"/>
      <w:szCs w:val="22"/>
    </w:rPr>
  </w:style>
  <w:style w:type="paragraph" w:customStyle="1" w:styleId="tablecolhead">
    <w:name w:val="table col head"/>
    <w:basedOn w:val="Normal"/>
    <w:rsid w:val="00EC6FDB"/>
    <w:pPr>
      <w:spacing w:after="0" w:line="240" w:lineRule="auto"/>
      <w:jc w:val="center"/>
    </w:pPr>
    <w:rPr>
      <w:rFonts w:ascii="Times New Roman" w:eastAsia="SimSun" w:hAnsi="Times New Roman"/>
      <w:b/>
      <w:bCs/>
      <w:sz w:val="16"/>
      <w:szCs w:val="16"/>
    </w:rPr>
  </w:style>
  <w:style w:type="paragraph" w:customStyle="1" w:styleId="tablecolsubhead">
    <w:name w:val="table col subhead"/>
    <w:basedOn w:val="tablecolhead"/>
    <w:rsid w:val="00EC6FDB"/>
    <w:rPr>
      <w:i/>
      <w:iCs/>
      <w:sz w:val="15"/>
      <w:szCs w:val="15"/>
    </w:rPr>
  </w:style>
  <w:style w:type="paragraph" w:customStyle="1" w:styleId="tablecopy">
    <w:name w:val="table copy"/>
    <w:rsid w:val="00EC6FDB"/>
    <w:pPr>
      <w:jc w:val="both"/>
    </w:pPr>
    <w:rPr>
      <w:rFonts w:ascii="Times New Roman" w:eastAsia="SimSun" w:hAnsi="Times New Roman"/>
      <w:noProof/>
      <w:sz w:val="16"/>
      <w:szCs w:val="16"/>
    </w:rPr>
  </w:style>
  <w:style w:type="character" w:styleId="Hyperlink">
    <w:name w:val="Hyperlink"/>
    <w:basedOn w:val="DefaultParagraphFont"/>
    <w:uiPriority w:val="99"/>
    <w:unhideWhenUsed/>
    <w:rsid w:val="00B202CC"/>
    <w:rPr>
      <w:color w:val="0000FF" w:themeColor="hyperlink"/>
      <w:u w:val="single"/>
    </w:rPr>
  </w:style>
  <w:style w:type="character" w:customStyle="1" w:styleId="m6728193749007035942gmail-">
    <w:name w:val="m_6728193749007035942gmail-"/>
    <w:basedOn w:val="DefaultParagraphFont"/>
    <w:rsid w:val="009E513A"/>
  </w:style>
  <w:style w:type="character" w:customStyle="1" w:styleId="NoSpacingChar">
    <w:name w:val="No Spacing Char"/>
    <w:basedOn w:val="DefaultParagraphFont"/>
    <w:link w:val="NoSpacing"/>
    <w:uiPriority w:val="1"/>
    <w:rsid w:val="00554515"/>
    <w:rPr>
      <w:sz w:val="22"/>
      <w:szCs w:val="22"/>
    </w:rPr>
  </w:style>
  <w:style w:type="table" w:styleId="TableGrid">
    <w:name w:val="Table Grid"/>
    <w:basedOn w:val="TableNormal"/>
    <w:uiPriority w:val="59"/>
    <w:rsid w:val="003973ED"/>
    <w:rPr>
      <w:rFonts w:cs="SimSu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577"/>
    <w:pPr>
      <w:ind w:left="720"/>
      <w:contextualSpacing/>
    </w:pPr>
  </w:style>
  <w:style w:type="paragraph" w:customStyle="1" w:styleId="Default">
    <w:name w:val="Default"/>
    <w:rsid w:val="009C5D7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9F"/>
    <w:pPr>
      <w:spacing w:after="200" w:line="276" w:lineRule="auto"/>
    </w:pPr>
    <w:rPr>
      <w:sz w:val="22"/>
      <w:szCs w:val="22"/>
    </w:rPr>
  </w:style>
  <w:style w:type="paragraph" w:styleId="Heading1">
    <w:name w:val="heading 1"/>
    <w:basedOn w:val="Normal"/>
    <w:next w:val="Normal"/>
    <w:link w:val="Heading1Char"/>
    <w:uiPriority w:val="9"/>
    <w:qFormat/>
    <w:rsid w:val="00E410AF"/>
    <w:pPr>
      <w:keepNext/>
      <w:keepLines/>
      <w:spacing w:before="480" w:after="0"/>
      <w:outlineLvl w:val="0"/>
    </w:pPr>
    <w:rPr>
      <w:rFonts w:ascii="Cambria" w:eastAsia="Times New Roman"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FB"/>
  </w:style>
  <w:style w:type="paragraph" w:styleId="Footer">
    <w:name w:val="footer"/>
    <w:basedOn w:val="Normal"/>
    <w:link w:val="FooterChar"/>
    <w:uiPriority w:val="99"/>
    <w:unhideWhenUsed/>
    <w:rsid w:val="0053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FB"/>
  </w:style>
  <w:style w:type="paragraph" w:styleId="BalloonText">
    <w:name w:val="Balloon Text"/>
    <w:basedOn w:val="Normal"/>
    <w:link w:val="BalloonTextChar"/>
    <w:uiPriority w:val="99"/>
    <w:semiHidden/>
    <w:unhideWhenUsed/>
    <w:rsid w:val="00E410A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10AF"/>
    <w:rPr>
      <w:rFonts w:ascii="Tahoma" w:hAnsi="Tahoma" w:cs="Tahoma"/>
      <w:sz w:val="16"/>
      <w:szCs w:val="16"/>
    </w:rPr>
  </w:style>
  <w:style w:type="character" w:customStyle="1" w:styleId="Heading1Char">
    <w:name w:val="Heading 1 Char"/>
    <w:link w:val="Heading1"/>
    <w:uiPriority w:val="9"/>
    <w:rsid w:val="00E410AF"/>
    <w:rPr>
      <w:rFonts w:ascii="Cambria" w:eastAsia="Times New Roman" w:hAnsi="Cambria" w:cs="Times New Roman"/>
      <w:b/>
      <w:bCs/>
      <w:color w:val="365F91"/>
      <w:sz w:val="28"/>
      <w:szCs w:val="28"/>
      <w:lang w:bidi="en-US"/>
    </w:rPr>
  </w:style>
  <w:style w:type="paragraph" w:styleId="NoSpacing">
    <w:name w:val="No Spacing"/>
    <w:link w:val="NoSpacingChar"/>
    <w:uiPriority w:val="1"/>
    <w:qFormat/>
    <w:rsid w:val="00EC6FDB"/>
    <w:rPr>
      <w:sz w:val="22"/>
      <w:szCs w:val="22"/>
    </w:rPr>
  </w:style>
  <w:style w:type="paragraph" w:customStyle="1" w:styleId="tablecolhead">
    <w:name w:val="table col head"/>
    <w:basedOn w:val="Normal"/>
    <w:rsid w:val="00EC6FDB"/>
    <w:pPr>
      <w:spacing w:after="0" w:line="240" w:lineRule="auto"/>
      <w:jc w:val="center"/>
    </w:pPr>
    <w:rPr>
      <w:rFonts w:ascii="Times New Roman" w:eastAsia="SimSun" w:hAnsi="Times New Roman"/>
      <w:b/>
      <w:bCs/>
      <w:sz w:val="16"/>
      <w:szCs w:val="16"/>
    </w:rPr>
  </w:style>
  <w:style w:type="paragraph" w:customStyle="1" w:styleId="tablecolsubhead">
    <w:name w:val="table col subhead"/>
    <w:basedOn w:val="tablecolhead"/>
    <w:rsid w:val="00EC6FDB"/>
    <w:rPr>
      <w:i/>
      <w:iCs/>
      <w:sz w:val="15"/>
      <w:szCs w:val="15"/>
    </w:rPr>
  </w:style>
  <w:style w:type="paragraph" w:customStyle="1" w:styleId="tablecopy">
    <w:name w:val="table copy"/>
    <w:rsid w:val="00EC6FDB"/>
    <w:pPr>
      <w:jc w:val="both"/>
    </w:pPr>
    <w:rPr>
      <w:rFonts w:ascii="Times New Roman" w:eastAsia="SimSun" w:hAnsi="Times New Roman"/>
      <w:noProof/>
      <w:sz w:val="16"/>
      <w:szCs w:val="16"/>
    </w:rPr>
  </w:style>
  <w:style w:type="character" w:styleId="Hyperlink">
    <w:name w:val="Hyperlink"/>
    <w:basedOn w:val="DefaultParagraphFont"/>
    <w:uiPriority w:val="99"/>
    <w:unhideWhenUsed/>
    <w:rsid w:val="00B202CC"/>
    <w:rPr>
      <w:color w:val="0000FF" w:themeColor="hyperlink"/>
      <w:u w:val="single"/>
    </w:rPr>
  </w:style>
  <w:style w:type="character" w:customStyle="1" w:styleId="m6728193749007035942gmail-">
    <w:name w:val="m_6728193749007035942gmail-"/>
    <w:basedOn w:val="DefaultParagraphFont"/>
    <w:rsid w:val="009E513A"/>
  </w:style>
  <w:style w:type="character" w:customStyle="1" w:styleId="NoSpacingChar">
    <w:name w:val="No Spacing Char"/>
    <w:basedOn w:val="DefaultParagraphFont"/>
    <w:link w:val="NoSpacing"/>
    <w:uiPriority w:val="1"/>
    <w:rsid w:val="00554515"/>
    <w:rPr>
      <w:sz w:val="22"/>
      <w:szCs w:val="22"/>
    </w:rPr>
  </w:style>
  <w:style w:type="table" w:styleId="TableGrid">
    <w:name w:val="Table Grid"/>
    <w:basedOn w:val="TableNormal"/>
    <w:uiPriority w:val="59"/>
    <w:rsid w:val="003973ED"/>
    <w:rPr>
      <w:rFonts w:cs="SimSun"/>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577"/>
    <w:pPr>
      <w:ind w:left="720"/>
      <w:contextualSpacing/>
    </w:pPr>
  </w:style>
  <w:style w:type="paragraph" w:customStyle="1" w:styleId="Default">
    <w:name w:val="Default"/>
    <w:rsid w:val="009C5D7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667">
      <w:bodyDiv w:val="1"/>
      <w:marLeft w:val="0"/>
      <w:marRight w:val="0"/>
      <w:marTop w:val="0"/>
      <w:marBottom w:val="0"/>
      <w:divBdr>
        <w:top w:val="none" w:sz="0" w:space="0" w:color="auto"/>
        <w:left w:val="none" w:sz="0" w:space="0" w:color="auto"/>
        <w:bottom w:val="none" w:sz="0" w:space="0" w:color="auto"/>
        <w:right w:val="none" w:sz="0" w:space="0" w:color="auto"/>
      </w:divBdr>
    </w:div>
    <w:div w:id="87582998">
      <w:bodyDiv w:val="1"/>
      <w:marLeft w:val="0"/>
      <w:marRight w:val="0"/>
      <w:marTop w:val="0"/>
      <w:marBottom w:val="0"/>
      <w:divBdr>
        <w:top w:val="none" w:sz="0" w:space="0" w:color="auto"/>
        <w:left w:val="none" w:sz="0" w:space="0" w:color="auto"/>
        <w:bottom w:val="none" w:sz="0" w:space="0" w:color="auto"/>
        <w:right w:val="none" w:sz="0" w:space="0" w:color="auto"/>
      </w:divBdr>
    </w:div>
    <w:div w:id="160395653">
      <w:bodyDiv w:val="1"/>
      <w:marLeft w:val="0"/>
      <w:marRight w:val="0"/>
      <w:marTop w:val="0"/>
      <w:marBottom w:val="0"/>
      <w:divBdr>
        <w:top w:val="none" w:sz="0" w:space="0" w:color="auto"/>
        <w:left w:val="none" w:sz="0" w:space="0" w:color="auto"/>
        <w:bottom w:val="none" w:sz="0" w:space="0" w:color="auto"/>
        <w:right w:val="none" w:sz="0" w:space="0" w:color="auto"/>
      </w:divBdr>
    </w:div>
    <w:div w:id="471950466">
      <w:bodyDiv w:val="1"/>
      <w:marLeft w:val="0"/>
      <w:marRight w:val="0"/>
      <w:marTop w:val="0"/>
      <w:marBottom w:val="0"/>
      <w:divBdr>
        <w:top w:val="none" w:sz="0" w:space="0" w:color="auto"/>
        <w:left w:val="none" w:sz="0" w:space="0" w:color="auto"/>
        <w:bottom w:val="none" w:sz="0" w:space="0" w:color="auto"/>
        <w:right w:val="none" w:sz="0" w:space="0" w:color="auto"/>
      </w:divBdr>
    </w:div>
    <w:div w:id="519124718">
      <w:bodyDiv w:val="1"/>
      <w:marLeft w:val="0"/>
      <w:marRight w:val="0"/>
      <w:marTop w:val="0"/>
      <w:marBottom w:val="0"/>
      <w:divBdr>
        <w:top w:val="none" w:sz="0" w:space="0" w:color="auto"/>
        <w:left w:val="none" w:sz="0" w:space="0" w:color="auto"/>
        <w:bottom w:val="none" w:sz="0" w:space="0" w:color="auto"/>
        <w:right w:val="none" w:sz="0" w:space="0" w:color="auto"/>
      </w:divBdr>
    </w:div>
    <w:div w:id="541983823">
      <w:bodyDiv w:val="1"/>
      <w:marLeft w:val="0"/>
      <w:marRight w:val="0"/>
      <w:marTop w:val="0"/>
      <w:marBottom w:val="0"/>
      <w:divBdr>
        <w:top w:val="none" w:sz="0" w:space="0" w:color="auto"/>
        <w:left w:val="none" w:sz="0" w:space="0" w:color="auto"/>
        <w:bottom w:val="none" w:sz="0" w:space="0" w:color="auto"/>
        <w:right w:val="none" w:sz="0" w:space="0" w:color="auto"/>
      </w:divBdr>
    </w:div>
    <w:div w:id="613823664">
      <w:bodyDiv w:val="1"/>
      <w:marLeft w:val="0"/>
      <w:marRight w:val="0"/>
      <w:marTop w:val="0"/>
      <w:marBottom w:val="0"/>
      <w:divBdr>
        <w:top w:val="none" w:sz="0" w:space="0" w:color="auto"/>
        <w:left w:val="none" w:sz="0" w:space="0" w:color="auto"/>
        <w:bottom w:val="none" w:sz="0" w:space="0" w:color="auto"/>
        <w:right w:val="none" w:sz="0" w:space="0" w:color="auto"/>
      </w:divBdr>
    </w:div>
    <w:div w:id="641814716">
      <w:bodyDiv w:val="1"/>
      <w:marLeft w:val="0"/>
      <w:marRight w:val="0"/>
      <w:marTop w:val="0"/>
      <w:marBottom w:val="0"/>
      <w:divBdr>
        <w:top w:val="none" w:sz="0" w:space="0" w:color="auto"/>
        <w:left w:val="none" w:sz="0" w:space="0" w:color="auto"/>
        <w:bottom w:val="none" w:sz="0" w:space="0" w:color="auto"/>
        <w:right w:val="none" w:sz="0" w:space="0" w:color="auto"/>
      </w:divBdr>
    </w:div>
    <w:div w:id="709257699">
      <w:bodyDiv w:val="1"/>
      <w:marLeft w:val="0"/>
      <w:marRight w:val="0"/>
      <w:marTop w:val="0"/>
      <w:marBottom w:val="0"/>
      <w:divBdr>
        <w:top w:val="none" w:sz="0" w:space="0" w:color="auto"/>
        <w:left w:val="none" w:sz="0" w:space="0" w:color="auto"/>
        <w:bottom w:val="none" w:sz="0" w:space="0" w:color="auto"/>
        <w:right w:val="none" w:sz="0" w:space="0" w:color="auto"/>
      </w:divBdr>
    </w:div>
    <w:div w:id="853953833">
      <w:bodyDiv w:val="1"/>
      <w:marLeft w:val="0"/>
      <w:marRight w:val="0"/>
      <w:marTop w:val="0"/>
      <w:marBottom w:val="0"/>
      <w:divBdr>
        <w:top w:val="none" w:sz="0" w:space="0" w:color="auto"/>
        <w:left w:val="none" w:sz="0" w:space="0" w:color="auto"/>
        <w:bottom w:val="none" w:sz="0" w:space="0" w:color="auto"/>
        <w:right w:val="none" w:sz="0" w:space="0" w:color="auto"/>
      </w:divBdr>
    </w:div>
    <w:div w:id="859978333">
      <w:bodyDiv w:val="1"/>
      <w:marLeft w:val="0"/>
      <w:marRight w:val="0"/>
      <w:marTop w:val="0"/>
      <w:marBottom w:val="0"/>
      <w:divBdr>
        <w:top w:val="none" w:sz="0" w:space="0" w:color="auto"/>
        <w:left w:val="none" w:sz="0" w:space="0" w:color="auto"/>
        <w:bottom w:val="none" w:sz="0" w:space="0" w:color="auto"/>
        <w:right w:val="none" w:sz="0" w:space="0" w:color="auto"/>
      </w:divBdr>
    </w:div>
    <w:div w:id="1068843730">
      <w:bodyDiv w:val="1"/>
      <w:marLeft w:val="0"/>
      <w:marRight w:val="0"/>
      <w:marTop w:val="0"/>
      <w:marBottom w:val="0"/>
      <w:divBdr>
        <w:top w:val="none" w:sz="0" w:space="0" w:color="auto"/>
        <w:left w:val="none" w:sz="0" w:space="0" w:color="auto"/>
        <w:bottom w:val="none" w:sz="0" w:space="0" w:color="auto"/>
        <w:right w:val="none" w:sz="0" w:space="0" w:color="auto"/>
      </w:divBdr>
    </w:div>
    <w:div w:id="1173564794">
      <w:bodyDiv w:val="1"/>
      <w:marLeft w:val="0"/>
      <w:marRight w:val="0"/>
      <w:marTop w:val="0"/>
      <w:marBottom w:val="0"/>
      <w:divBdr>
        <w:top w:val="none" w:sz="0" w:space="0" w:color="auto"/>
        <w:left w:val="none" w:sz="0" w:space="0" w:color="auto"/>
        <w:bottom w:val="none" w:sz="0" w:space="0" w:color="auto"/>
        <w:right w:val="none" w:sz="0" w:space="0" w:color="auto"/>
      </w:divBdr>
    </w:div>
    <w:div w:id="1458914318">
      <w:bodyDiv w:val="1"/>
      <w:marLeft w:val="0"/>
      <w:marRight w:val="0"/>
      <w:marTop w:val="0"/>
      <w:marBottom w:val="0"/>
      <w:divBdr>
        <w:top w:val="none" w:sz="0" w:space="0" w:color="auto"/>
        <w:left w:val="none" w:sz="0" w:space="0" w:color="auto"/>
        <w:bottom w:val="none" w:sz="0" w:space="0" w:color="auto"/>
        <w:right w:val="none" w:sz="0" w:space="0" w:color="auto"/>
      </w:divBdr>
    </w:div>
    <w:div w:id="1462335439">
      <w:bodyDiv w:val="1"/>
      <w:marLeft w:val="0"/>
      <w:marRight w:val="0"/>
      <w:marTop w:val="0"/>
      <w:marBottom w:val="0"/>
      <w:divBdr>
        <w:top w:val="none" w:sz="0" w:space="0" w:color="auto"/>
        <w:left w:val="none" w:sz="0" w:space="0" w:color="auto"/>
        <w:bottom w:val="none" w:sz="0" w:space="0" w:color="auto"/>
        <w:right w:val="none" w:sz="0" w:space="0" w:color="auto"/>
      </w:divBdr>
    </w:div>
    <w:div w:id="1480416440">
      <w:bodyDiv w:val="1"/>
      <w:marLeft w:val="0"/>
      <w:marRight w:val="0"/>
      <w:marTop w:val="0"/>
      <w:marBottom w:val="0"/>
      <w:divBdr>
        <w:top w:val="none" w:sz="0" w:space="0" w:color="auto"/>
        <w:left w:val="none" w:sz="0" w:space="0" w:color="auto"/>
        <w:bottom w:val="none" w:sz="0" w:space="0" w:color="auto"/>
        <w:right w:val="none" w:sz="0" w:space="0" w:color="auto"/>
      </w:divBdr>
    </w:div>
    <w:div w:id="1490098643">
      <w:bodyDiv w:val="1"/>
      <w:marLeft w:val="0"/>
      <w:marRight w:val="0"/>
      <w:marTop w:val="0"/>
      <w:marBottom w:val="0"/>
      <w:divBdr>
        <w:top w:val="none" w:sz="0" w:space="0" w:color="auto"/>
        <w:left w:val="none" w:sz="0" w:space="0" w:color="auto"/>
        <w:bottom w:val="none" w:sz="0" w:space="0" w:color="auto"/>
        <w:right w:val="none" w:sz="0" w:space="0" w:color="auto"/>
      </w:divBdr>
    </w:div>
    <w:div w:id="1760829642">
      <w:bodyDiv w:val="1"/>
      <w:marLeft w:val="0"/>
      <w:marRight w:val="0"/>
      <w:marTop w:val="0"/>
      <w:marBottom w:val="0"/>
      <w:divBdr>
        <w:top w:val="none" w:sz="0" w:space="0" w:color="auto"/>
        <w:left w:val="none" w:sz="0" w:space="0" w:color="auto"/>
        <w:bottom w:val="none" w:sz="0" w:space="0" w:color="auto"/>
        <w:right w:val="none" w:sz="0" w:space="0" w:color="auto"/>
      </w:divBdr>
    </w:div>
    <w:div w:id="1879390341">
      <w:bodyDiv w:val="1"/>
      <w:marLeft w:val="0"/>
      <w:marRight w:val="0"/>
      <w:marTop w:val="0"/>
      <w:marBottom w:val="0"/>
      <w:divBdr>
        <w:top w:val="none" w:sz="0" w:space="0" w:color="auto"/>
        <w:left w:val="none" w:sz="0" w:space="0" w:color="auto"/>
        <w:bottom w:val="none" w:sz="0" w:space="0" w:color="auto"/>
        <w:right w:val="none" w:sz="0" w:space="0" w:color="auto"/>
      </w:divBdr>
    </w:div>
    <w:div w:id="1948656140">
      <w:bodyDiv w:val="1"/>
      <w:marLeft w:val="0"/>
      <w:marRight w:val="0"/>
      <w:marTop w:val="0"/>
      <w:marBottom w:val="0"/>
      <w:divBdr>
        <w:top w:val="none" w:sz="0" w:space="0" w:color="auto"/>
        <w:left w:val="none" w:sz="0" w:space="0" w:color="auto"/>
        <w:bottom w:val="none" w:sz="0" w:space="0" w:color="auto"/>
        <w:right w:val="none" w:sz="0" w:space="0" w:color="auto"/>
      </w:divBdr>
    </w:div>
    <w:div w:id="19517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dimasramadhanftm@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PN\jurnal\Jurnal%20Teknik%20Lingkungan%20Ful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DIMAS\PERHITUNGAN\grafik%20FOI&amp;Konduktivi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DIMAS\PERHITUNGAN\grafik%20FOI&amp;Konduktivit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DIMAS\PERHITUNGAN\grafik%20FOI&amp;Konduktivit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i="0">
                <a:latin typeface="Times New Roman" pitchFamily="18" charset="0"/>
                <a:cs typeface="Times New Roman" pitchFamily="18" charset="0"/>
              </a:rPr>
              <a:t>FOI</a:t>
            </a:r>
            <a:r>
              <a:rPr lang="en-US" sz="1200" i="0" baseline="0">
                <a:latin typeface="Times New Roman" pitchFamily="18" charset="0"/>
                <a:cs typeface="Times New Roman" pitchFamily="18" charset="0"/>
              </a:rPr>
              <a:t> </a:t>
            </a:r>
            <a:r>
              <a:rPr lang="en-US" sz="1200" i="0">
                <a:latin typeface="Times New Roman" pitchFamily="18" charset="0"/>
                <a:cs typeface="Times New Roman" pitchFamily="18" charset="0"/>
              </a:rPr>
              <a:t>McGuire</a:t>
            </a:r>
            <a:r>
              <a:rPr lang="en-US" sz="1200" i="0" baseline="0">
                <a:latin typeface="Times New Roman" pitchFamily="18" charset="0"/>
                <a:cs typeface="Times New Roman" pitchFamily="18" charset="0"/>
              </a:rPr>
              <a:t> Sikora</a:t>
            </a:r>
            <a:r>
              <a:rPr lang="id-ID" sz="1200" i="0" baseline="0">
                <a:latin typeface="Times New Roman" pitchFamily="18" charset="0"/>
                <a:cs typeface="Times New Roman" pitchFamily="18" charset="0"/>
              </a:rPr>
              <a:t> Method</a:t>
            </a:r>
            <a:endParaRPr lang="en-US" sz="1200"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YF240OD</c:v>
          </c:tx>
          <c:invertIfNegative val="0"/>
          <c:cat>
            <c:strRef>
              <c:f>'grafik FOI'!$D$8:$D$10</c:f>
              <c:strCache>
                <c:ptCount val="3"/>
                <c:pt idx="0">
                  <c:v>12/18-Mesh</c:v>
                </c:pt>
                <c:pt idx="1">
                  <c:v>16/20-Mesh</c:v>
                </c:pt>
                <c:pt idx="2">
                  <c:v>20/40-Mesh</c:v>
                </c:pt>
              </c:strCache>
            </c:strRef>
          </c:cat>
          <c:val>
            <c:numRef>
              <c:f>'grafik FOI'!$E$5:$E$7</c:f>
              <c:numCache>
                <c:formatCode>General</c:formatCode>
                <c:ptCount val="3"/>
                <c:pt idx="0">
                  <c:v>2.06</c:v>
                </c:pt>
                <c:pt idx="1">
                  <c:v>3.38</c:v>
                </c:pt>
                <c:pt idx="2">
                  <c:v>3.21</c:v>
                </c:pt>
              </c:numCache>
            </c:numRef>
          </c:val>
        </c:ser>
        <c:ser>
          <c:idx val="1"/>
          <c:order val="1"/>
          <c:tx>
            <c:v>PrimeFRAC20</c:v>
          </c:tx>
          <c:invertIfNegative val="0"/>
          <c:cat>
            <c:strRef>
              <c:f>'grafik FOI'!$D$8:$D$10</c:f>
              <c:strCache>
                <c:ptCount val="3"/>
                <c:pt idx="0">
                  <c:v>12/18-Mesh</c:v>
                </c:pt>
                <c:pt idx="1">
                  <c:v>16/20-Mesh</c:v>
                </c:pt>
                <c:pt idx="2">
                  <c:v>20/40-Mesh</c:v>
                </c:pt>
              </c:strCache>
            </c:strRef>
          </c:cat>
          <c:val>
            <c:numRef>
              <c:f>'grafik FOI'!$E$8:$E$10</c:f>
              <c:numCache>
                <c:formatCode>General</c:formatCode>
                <c:ptCount val="3"/>
                <c:pt idx="0">
                  <c:v>2.4900000000000002</c:v>
                </c:pt>
                <c:pt idx="1">
                  <c:v>4.5</c:v>
                </c:pt>
                <c:pt idx="2">
                  <c:v>3.42</c:v>
                </c:pt>
              </c:numCache>
            </c:numRef>
          </c:val>
        </c:ser>
        <c:dLbls>
          <c:showLegendKey val="0"/>
          <c:showVal val="0"/>
          <c:showCatName val="0"/>
          <c:showSerName val="0"/>
          <c:showPercent val="0"/>
          <c:showBubbleSize val="0"/>
        </c:dLbls>
        <c:gapWidth val="150"/>
        <c:axId val="273519360"/>
        <c:axId val="273520896"/>
      </c:barChart>
      <c:catAx>
        <c:axId val="273519360"/>
        <c:scaling>
          <c:orientation val="minMax"/>
        </c:scaling>
        <c:delete val="0"/>
        <c:axPos val="b"/>
        <c:numFmt formatCode="General" sourceLinked="0"/>
        <c:majorTickMark val="none"/>
        <c:minorTickMark val="none"/>
        <c:tickLblPos val="nextTo"/>
        <c:crossAx val="273520896"/>
        <c:crosses val="autoZero"/>
        <c:auto val="1"/>
        <c:lblAlgn val="ctr"/>
        <c:lblOffset val="100"/>
        <c:noMultiLvlLbl val="0"/>
      </c:catAx>
      <c:valAx>
        <c:axId val="273520896"/>
        <c:scaling>
          <c:orientation val="minMax"/>
        </c:scaling>
        <c:delete val="0"/>
        <c:axPos val="l"/>
        <c:majorGridlines/>
        <c:title>
          <c:tx>
            <c:rich>
              <a:bodyPr/>
              <a:lstStyle/>
              <a:p>
                <a:pPr>
                  <a:defRPr/>
                </a:pPr>
                <a:r>
                  <a:rPr lang="en-US"/>
                  <a:t>FOI,</a:t>
                </a:r>
                <a:r>
                  <a:rPr lang="en-US" baseline="0"/>
                  <a:t> J/Jo</a:t>
                </a:r>
                <a:endParaRPr lang="en-US"/>
              </a:p>
            </c:rich>
          </c:tx>
          <c:overlay val="0"/>
        </c:title>
        <c:numFmt formatCode="General" sourceLinked="1"/>
        <c:majorTickMark val="none"/>
        <c:minorTickMark val="none"/>
        <c:tickLblPos val="nextTo"/>
        <c:crossAx val="273519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i="0">
                <a:latin typeface="Times New Roman" pitchFamily="18" charset="0"/>
                <a:cs typeface="Times New Roman" pitchFamily="18" charset="0"/>
              </a:rPr>
              <a:t>FOI Cinco-Ley &amp; Samaniago</a:t>
            </a:r>
            <a:r>
              <a:rPr lang="id-ID" sz="1200" i="0">
                <a:latin typeface="Times New Roman" pitchFamily="18" charset="0"/>
                <a:cs typeface="Times New Roman" pitchFamily="18" charset="0"/>
              </a:rPr>
              <a:t> Method</a:t>
            </a:r>
            <a:endParaRPr lang="en-US" sz="1200"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YF240OD</c:v>
          </c:tx>
          <c:invertIfNegative val="0"/>
          <c:cat>
            <c:strRef>
              <c:f>'grafik FOI'!$D$8:$D$10</c:f>
              <c:strCache>
                <c:ptCount val="3"/>
                <c:pt idx="0">
                  <c:v>12/18-Mesh</c:v>
                </c:pt>
                <c:pt idx="1">
                  <c:v>16/20-Mesh</c:v>
                </c:pt>
                <c:pt idx="2">
                  <c:v>20/40-Mesh</c:v>
                </c:pt>
              </c:strCache>
            </c:strRef>
          </c:cat>
          <c:val>
            <c:numRef>
              <c:f>'grafik FOI'!$F$5:$F$7</c:f>
              <c:numCache>
                <c:formatCode>General</c:formatCode>
                <c:ptCount val="3"/>
                <c:pt idx="0">
                  <c:v>4.0199999999999996</c:v>
                </c:pt>
                <c:pt idx="1">
                  <c:v>5.77</c:v>
                </c:pt>
                <c:pt idx="2">
                  <c:v>4.8600000000000003</c:v>
                </c:pt>
              </c:numCache>
            </c:numRef>
          </c:val>
        </c:ser>
        <c:ser>
          <c:idx val="1"/>
          <c:order val="1"/>
          <c:tx>
            <c:v>PrimeFRAC20</c:v>
          </c:tx>
          <c:invertIfNegative val="0"/>
          <c:cat>
            <c:strRef>
              <c:f>'grafik FOI'!$D$8:$D$10</c:f>
              <c:strCache>
                <c:ptCount val="3"/>
                <c:pt idx="0">
                  <c:v>12/18-Mesh</c:v>
                </c:pt>
                <c:pt idx="1">
                  <c:v>16/20-Mesh</c:v>
                </c:pt>
                <c:pt idx="2">
                  <c:v>20/40-Mesh</c:v>
                </c:pt>
              </c:strCache>
            </c:strRef>
          </c:cat>
          <c:val>
            <c:numRef>
              <c:f>'grafik FOI'!$F$8:$F$10</c:f>
              <c:numCache>
                <c:formatCode>General</c:formatCode>
                <c:ptCount val="3"/>
                <c:pt idx="0">
                  <c:v>4.09</c:v>
                </c:pt>
                <c:pt idx="1">
                  <c:v>6.25</c:v>
                </c:pt>
                <c:pt idx="2">
                  <c:v>5.18</c:v>
                </c:pt>
              </c:numCache>
            </c:numRef>
          </c:val>
        </c:ser>
        <c:dLbls>
          <c:showLegendKey val="0"/>
          <c:showVal val="0"/>
          <c:showCatName val="0"/>
          <c:showSerName val="0"/>
          <c:showPercent val="0"/>
          <c:showBubbleSize val="0"/>
        </c:dLbls>
        <c:gapWidth val="150"/>
        <c:axId val="273748736"/>
        <c:axId val="273750272"/>
      </c:barChart>
      <c:catAx>
        <c:axId val="273748736"/>
        <c:scaling>
          <c:orientation val="minMax"/>
        </c:scaling>
        <c:delete val="0"/>
        <c:axPos val="b"/>
        <c:numFmt formatCode="General" sourceLinked="0"/>
        <c:majorTickMark val="none"/>
        <c:minorTickMark val="none"/>
        <c:tickLblPos val="nextTo"/>
        <c:crossAx val="273750272"/>
        <c:crosses val="autoZero"/>
        <c:auto val="1"/>
        <c:lblAlgn val="ctr"/>
        <c:lblOffset val="100"/>
        <c:noMultiLvlLbl val="0"/>
      </c:catAx>
      <c:valAx>
        <c:axId val="273750272"/>
        <c:scaling>
          <c:orientation val="minMax"/>
        </c:scaling>
        <c:delete val="0"/>
        <c:axPos val="l"/>
        <c:majorGridlines/>
        <c:title>
          <c:tx>
            <c:rich>
              <a:bodyPr/>
              <a:lstStyle/>
              <a:p>
                <a:pPr>
                  <a:defRPr/>
                </a:pPr>
                <a:r>
                  <a:rPr lang="en-US"/>
                  <a:t>FOI, J/Jo</a:t>
                </a:r>
              </a:p>
            </c:rich>
          </c:tx>
          <c:overlay val="0"/>
        </c:title>
        <c:numFmt formatCode="General" sourceLinked="1"/>
        <c:majorTickMark val="none"/>
        <c:minorTickMark val="none"/>
        <c:tickLblPos val="nextTo"/>
        <c:crossAx val="2737487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i="0">
                <a:latin typeface="Times New Roman" pitchFamily="18" charset="0"/>
                <a:cs typeface="Times New Roman" pitchFamily="18" charset="0"/>
              </a:rPr>
              <a:t>FOI</a:t>
            </a:r>
            <a:r>
              <a:rPr lang="id-ID" sz="1200" i="0">
                <a:latin typeface="Times New Roman" pitchFamily="18" charset="0"/>
                <a:cs typeface="Times New Roman" pitchFamily="18" charset="0"/>
              </a:rPr>
              <a:t> </a:t>
            </a:r>
            <a:r>
              <a:rPr lang="en-US" sz="1200" i="0">
                <a:latin typeface="Times New Roman" pitchFamily="18" charset="0"/>
                <a:cs typeface="Times New Roman" pitchFamily="18" charset="0"/>
              </a:rPr>
              <a:t>Tinsley &amp;</a:t>
            </a:r>
            <a:r>
              <a:rPr lang="en-US" sz="1200" i="0" baseline="0">
                <a:latin typeface="Times New Roman" pitchFamily="18" charset="0"/>
                <a:cs typeface="Times New Roman" pitchFamily="18" charset="0"/>
              </a:rPr>
              <a:t> Soliman</a:t>
            </a:r>
            <a:r>
              <a:rPr lang="id-ID" sz="1200" i="0" baseline="0">
                <a:latin typeface="Times New Roman" pitchFamily="18" charset="0"/>
                <a:cs typeface="Times New Roman" pitchFamily="18" charset="0"/>
              </a:rPr>
              <a:t> Method</a:t>
            </a:r>
            <a:endParaRPr lang="en-US" sz="1200" i="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v>YF240OD</c:v>
          </c:tx>
          <c:invertIfNegative val="0"/>
          <c:cat>
            <c:strRef>
              <c:f>'grafik FOI'!$D$8:$D$10</c:f>
              <c:strCache>
                <c:ptCount val="3"/>
                <c:pt idx="0">
                  <c:v>12/18-Mesh</c:v>
                </c:pt>
                <c:pt idx="1">
                  <c:v>16/20-Mesh</c:v>
                </c:pt>
                <c:pt idx="2">
                  <c:v>20/40-Mesh</c:v>
                </c:pt>
              </c:strCache>
            </c:strRef>
          </c:cat>
          <c:val>
            <c:numRef>
              <c:f>'grafik FOI'!$G$5:$G$7</c:f>
              <c:numCache>
                <c:formatCode>General</c:formatCode>
                <c:ptCount val="3"/>
                <c:pt idx="0">
                  <c:v>2.27</c:v>
                </c:pt>
                <c:pt idx="1">
                  <c:v>3.59</c:v>
                </c:pt>
                <c:pt idx="2">
                  <c:v>2.4900000000000002</c:v>
                </c:pt>
              </c:numCache>
            </c:numRef>
          </c:val>
        </c:ser>
        <c:ser>
          <c:idx val="1"/>
          <c:order val="1"/>
          <c:tx>
            <c:v>PrimeFRAC20</c:v>
          </c:tx>
          <c:invertIfNegative val="0"/>
          <c:cat>
            <c:strRef>
              <c:f>'grafik FOI'!$D$8:$D$10</c:f>
              <c:strCache>
                <c:ptCount val="3"/>
                <c:pt idx="0">
                  <c:v>12/18-Mesh</c:v>
                </c:pt>
                <c:pt idx="1">
                  <c:v>16/20-Mesh</c:v>
                </c:pt>
                <c:pt idx="2">
                  <c:v>20/40-Mesh</c:v>
                </c:pt>
              </c:strCache>
            </c:strRef>
          </c:cat>
          <c:val>
            <c:numRef>
              <c:f>'grafik FOI'!$G$8:$G$10</c:f>
              <c:numCache>
                <c:formatCode>General</c:formatCode>
                <c:ptCount val="3"/>
                <c:pt idx="0">
                  <c:v>2.35</c:v>
                </c:pt>
                <c:pt idx="1">
                  <c:v>3.77</c:v>
                </c:pt>
                <c:pt idx="2">
                  <c:v>2.62</c:v>
                </c:pt>
              </c:numCache>
            </c:numRef>
          </c:val>
        </c:ser>
        <c:dLbls>
          <c:showLegendKey val="0"/>
          <c:showVal val="0"/>
          <c:showCatName val="0"/>
          <c:showSerName val="0"/>
          <c:showPercent val="0"/>
          <c:showBubbleSize val="0"/>
        </c:dLbls>
        <c:gapWidth val="150"/>
        <c:axId val="273773696"/>
        <c:axId val="273775232"/>
      </c:barChart>
      <c:catAx>
        <c:axId val="273773696"/>
        <c:scaling>
          <c:orientation val="minMax"/>
        </c:scaling>
        <c:delete val="0"/>
        <c:axPos val="b"/>
        <c:numFmt formatCode="General" sourceLinked="0"/>
        <c:majorTickMark val="none"/>
        <c:minorTickMark val="none"/>
        <c:tickLblPos val="nextTo"/>
        <c:crossAx val="273775232"/>
        <c:crosses val="autoZero"/>
        <c:auto val="1"/>
        <c:lblAlgn val="ctr"/>
        <c:lblOffset val="100"/>
        <c:noMultiLvlLbl val="0"/>
      </c:catAx>
      <c:valAx>
        <c:axId val="273775232"/>
        <c:scaling>
          <c:orientation val="minMax"/>
        </c:scaling>
        <c:delete val="0"/>
        <c:axPos val="l"/>
        <c:majorGridlines/>
        <c:title>
          <c:tx>
            <c:rich>
              <a:bodyPr/>
              <a:lstStyle/>
              <a:p>
                <a:pPr>
                  <a:defRPr/>
                </a:pPr>
                <a:r>
                  <a:rPr lang="en-US"/>
                  <a:t>FOI,</a:t>
                </a:r>
                <a:r>
                  <a:rPr lang="en-US" baseline="0"/>
                  <a:t> J/Jo</a:t>
                </a:r>
                <a:endParaRPr lang="en-US"/>
              </a:p>
            </c:rich>
          </c:tx>
          <c:overlay val="0"/>
        </c:title>
        <c:numFmt formatCode="General" sourceLinked="1"/>
        <c:majorTickMark val="none"/>
        <c:minorTickMark val="none"/>
        <c:tickLblPos val="nextTo"/>
        <c:crossAx val="273773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4617C16B4647468B76BCADBA583875"/>
        <w:category>
          <w:name w:val="General"/>
          <w:gallery w:val="placeholder"/>
        </w:category>
        <w:types>
          <w:type w:val="bbPlcHdr"/>
        </w:types>
        <w:behaviors>
          <w:behavior w:val="content"/>
        </w:behaviors>
        <w:guid w:val="{BC30636B-B2C1-49C8-960F-179E3F46935C}"/>
      </w:docPartPr>
      <w:docPartBody>
        <w:p w:rsidR="001F3B53" w:rsidRDefault="0029438C" w:rsidP="0029438C">
          <w:pPr>
            <w:pStyle w:val="F64617C16B4647468B76BCADBA583875"/>
          </w:pPr>
          <w:r>
            <w:rPr>
              <w:b/>
              <w:bCs/>
              <w:caps/>
              <w:sz w:val="24"/>
              <w:szCs w:val="24"/>
            </w:rPr>
            <w:t>Type the document title</w:t>
          </w:r>
        </w:p>
      </w:docPartBody>
    </w:docPart>
    <w:docPart>
      <w:docPartPr>
        <w:name w:val="E702CD5CECE54A43AACCEDF6F4D78C97"/>
        <w:category>
          <w:name w:val="General"/>
          <w:gallery w:val="placeholder"/>
        </w:category>
        <w:types>
          <w:type w:val="bbPlcHdr"/>
        </w:types>
        <w:behaviors>
          <w:behavior w:val="content"/>
        </w:behaviors>
        <w:guid w:val="{ED2C116D-4B29-4322-8B55-E73E1A676CE6}"/>
      </w:docPartPr>
      <w:docPartBody>
        <w:p w:rsidR="001F3B53" w:rsidRDefault="0029438C" w:rsidP="0029438C">
          <w:pPr>
            <w:pStyle w:val="E702CD5CECE54A43AACCEDF6F4D78C9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8C"/>
    <w:rsid w:val="0010636A"/>
    <w:rsid w:val="001F3B53"/>
    <w:rsid w:val="0029438C"/>
    <w:rsid w:val="004D2E42"/>
    <w:rsid w:val="009B2AA2"/>
    <w:rsid w:val="00CB2E21"/>
    <w:rsid w:val="00EA657B"/>
    <w:rsid w:val="00F9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617C16B4647468B76BCADBA583875">
    <w:name w:val="F64617C16B4647468B76BCADBA583875"/>
    <w:rsid w:val="0029438C"/>
  </w:style>
  <w:style w:type="paragraph" w:customStyle="1" w:styleId="E702CD5CECE54A43AACCEDF6F4D78C97">
    <w:name w:val="E702CD5CECE54A43AACCEDF6F4D78C97"/>
    <w:rsid w:val="002943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617C16B4647468B76BCADBA583875">
    <w:name w:val="F64617C16B4647468B76BCADBA583875"/>
    <w:rsid w:val="0029438C"/>
  </w:style>
  <w:style w:type="paragraph" w:customStyle="1" w:styleId="E702CD5CECE54A43AACCEDF6F4D78C97">
    <w:name w:val="E702CD5CECE54A43AACCEDF6F4D78C97"/>
    <w:rsid w:val="00294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Vol.1 No. 1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99BCD-5951-4F8B-8C1A-DE2BA9A8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Teknik Lingkungan Full.dot</Template>
  <TotalTime>60</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Journal of PETROLEUM AND GEOTHERMAL Technology (JPGT)</vt:lpstr>
    </vt:vector>
  </TitlesOfParts>
  <Company>FYM Inc.</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PETROLEUM AND GEOTHERMAL Technology (JPGT)</dc:title>
  <dc:creator>Compaq</dc:creator>
  <cp:lastModifiedBy>master</cp:lastModifiedBy>
  <cp:revision>14</cp:revision>
  <cp:lastPrinted>2017-12-12T19:12:00Z</cp:lastPrinted>
  <dcterms:created xsi:type="dcterms:W3CDTF">2020-11-08T05:04:00Z</dcterms:created>
  <dcterms:modified xsi:type="dcterms:W3CDTF">2020-11-08T08:50:00Z</dcterms:modified>
</cp:coreProperties>
</file>