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68AA" w14:textId="77777777" w:rsidR="007B2105" w:rsidRDefault="007B2105" w:rsidP="007B2105">
      <w:pPr>
        <w:spacing w:line="240" w:lineRule="auto"/>
        <w:jc w:val="center"/>
        <w:rPr>
          <w:rFonts w:eastAsia="Times New Roman" w:cs="Times New Roman"/>
          <w:b/>
          <w:bCs/>
          <w:szCs w:val="24"/>
        </w:rPr>
      </w:pPr>
      <w:r w:rsidRPr="007B2105">
        <w:rPr>
          <w:rFonts w:eastAsia="Times New Roman" w:cs="Times New Roman"/>
          <w:b/>
          <w:bCs/>
          <w:szCs w:val="24"/>
        </w:rPr>
        <w:t>EVALUASI RISIKO RANTAI PASOK</w:t>
      </w:r>
    </w:p>
    <w:p w14:paraId="72A77194" w14:textId="4B726B57" w:rsidR="00085E28" w:rsidRPr="007B2105" w:rsidRDefault="007B2105" w:rsidP="007B2105">
      <w:pPr>
        <w:spacing w:line="240" w:lineRule="auto"/>
        <w:jc w:val="center"/>
        <w:rPr>
          <w:rFonts w:eastAsia="Times New Roman" w:cs="Times New Roman"/>
          <w:b/>
          <w:bCs/>
          <w:szCs w:val="24"/>
          <w:lang w:val="en-ID"/>
        </w:rPr>
      </w:pPr>
      <w:r w:rsidRPr="007B2105">
        <w:rPr>
          <w:rFonts w:eastAsia="Times New Roman" w:cs="Times New Roman"/>
          <w:b/>
          <w:bCs/>
          <w:szCs w:val="24"/>
        </w:rPr>
        <w:t>PADA KOMODITA</w:t>
      </w:r>
      <w:r>
        <w:rPr>
          <w:rFonts w:eastAsia="Times New Roman" w:cs="Times New Roman"/>
          <w:b/>
          <w:bCs/>
          <w:szCs w:val="24"/>
        </w:rPr>
        <w:t>S BAWANG MERAH DI LAMPUNG</w:t>
      </w:r>
    </w:p>
    <w:p w14:paraId="1CBD2E3C" w14:textId="77777777" w:rsidR="00085E28" w:rsidRPr="002D22A2" w:rsidRDefault="00085E28" w:rsidP="00085E28">
      <w:pPr>
        <w:spacing w:line="240" w:lineRule="auto"/>
        <w:jc w:val="center"/>
        <w:rPr>
          <w:rFonts w:eastAsia="Times New Roman" w:cs="Times New Roman"/>
          <w:b/>
          <w:szCs w:val="24"/>
          <w:lang w:val="id-ID"/>
        </w:rPr>
      </w:pPr>
    </w:p>
    <w:p w14:paraId="3F2AF97F" w14:textId="208B77EA" w:rsidR="007B2105" w:rsidRDefault="007B2105" w:rsidP="007B2105">
      <w:pPr>
        <w:spacing w:line="240" w:lineRule="auto"/>
        <w:jc w:val="center"/>
        <w:rPr>
          <w:rFonts w:eastAsia="Times New Roman" w:cs="Times New Roman"/>
          <w:b/>
          <w:bCs/>
          <w:sz w:val="20"/>
          <w:szCs w:val="20"/>
          <w:vertAlign w:val="superscript"/>
          <w:lang w:val="id-ID"/>
        </w:rPr>
      </w:pPr>
      <w:r>
        <w:rPr>
          <w:rFonts w:eastAsia="Times New Roman" w:cs="Times New Roman"/>
          <w:b/>
          <w:bCs/>
          <w:sz w:val="20"/>
          <w:szCs w:val="20"/>
          <w:lang w:val="en-ID"/>
        </w:rPr>
        <w:t>Rizqa Ula Fahadha</w:t>
      </w:r>
      <w:r w:rsidR="00085E28" w:rsidRPr="002D22A2">
        <w:rPr>
          <w:rFonts w:eastAsia="Times New Roman" w:cs="Times New Roman"/>
          <w:b/>
          <w:bCs/>
          <w:sz w:val="20"/>
          <w:szCs w:val="20"/>
          <w:vertAlign w:val="superscript"/>
          <w:lang w:val="id-ID"/>
        </w:rPr>
        <w:t>1</w:t>
      </w:r>
      <w:r w:rsidR="00085E28" w:rsidRPr="002D22A2">
        <w:rPr>
          <w:rFonts w:eastAsia="Times New Roman" w:cs="Times New Roman"/>
          <w:b/>
          <w:bCs/>
          <w:sz w:val="20"/>
          <w:szCs w:val="20"/>
          <w:lang w:val="id-ID"/>
        </w:rPr>
        <w:t xml:space="preserve">, </w:t>
      </w:r>
      <w:r>
        <w:rPr>
          <w:rFonts w:eastAsia="Times New Roman" w:cs="Times New Roman"/>
          <w:b/>
          <w:bCs/>
          <w:sz w:val="20"/>
          <w:szCs w:val="20"/>
          <w:lang w:val="en-ID"/>
        </w:rPr>
        <w:t>Tutik Nuryati</w:t>
      </w:r>
      <w:r w:rsidR="00085E28" w:rsidRPr="002D22A2">
        <w:rPr>
          <w:rFonts w:eastAsia="Times New Roman" w:cs="Times New Roman"/>
          <w:b/>
          <w:bCs/>
          <w:sz w:val="20"/>
          <w:szCs w:val="20"/>
          <w:vertAlign w:val="superscript"/>
          <w:lang w:val="id-ID"/>
        </w:rPr>
        <w:t>2</w:t>
      </w:r>
      <w:r>
        <w:rPr>
          <w:rFonts w:eastAsia="Times New Roman" w:cs="Times New Roman"/>
          <w:b/>
          <w:bCs/>
          <w:sz w:val="20"/>
          <w:szCs w:val="20"/>
          <w:lang w:val="en-ID"/>
        </w:rPr>
        <w:t>, Sutarto</w:t>
      </w:r>
      <w:r w:rsidRPr="002D22A2">
        <w:rPr>
          <w:rFonts w:eastAsia="Times New Roman" w:cs="Times New Roman"/>
          <w:b/>
          <w:bCs/>
          <w:sz w:val="20"/>
          <w:szCs w:val="20"/>
          <w:vertAlign w:val="superscript"/>
          <w:lang w:val="id-ID"/>
        </w:rPr>
        <w:t>2</w:t>
      </w:r>
    </w:p>
    <w:p w14:paraId="4522AC62" w14:textId="77777777" w:rsidR="007B2105" w:rsidRPr="007B2105" w:rsidRDefault="007B2105" w:rsidP="007B2105">
      <w:pPr>
        <w:spacing w:line="240" w:lineRule="auto"/>
        <w:jc w:val="center"/>
        <w:rPr>
          <w:rFonts w:eastAsia="Times New Roman" w:cs="Times New Roman"/>
          <w:color w:val="000000"/>
          <w:sz w:val="20"/>
          <w:szCs w:val="20"/>
        </w:rPr>
      </w:pPr>
      <w:r w:rsidRPr="007B2105">
        <w:rPr>
          <w:rFonts w:eastAsia="Times New Roman" w:cs="Times New Roman"/>
          <w:color w:val="000000"/>
          <w:sz w:val="20"/>
          <w:szCs w:val="20"/>
          <w:vertAlign w:val="superscript"/>
        </w:rPr>
        <w:t>1</w:t>
      </w:r>
      <w:r w:rsidRPr="007B2105">
        <w:rPr>
          <w:rFonts w:eastAsia="Times New Roman" w:cs="Times New Roman"/>
          <w:color w:val="000000"/>
          <w:sz w:val="20"/>
          <w:szCs w:val="20"/>
        </w:rPr>
        <w:t xml:space="preserve"> Prodi Teknik Indutri, Institut Teknologi Sumatera </w:t>
      </w:r>
      <w:r w:rsidRPr="007B2105">
        <w:rPr>
          <w:rFonts w:eastAsia="Times New Roman" w:cs="Times New Roman"/>
          <w:color w:val="000000"/>
          <w:sz w:val="20"/>
          <w:szCs w:val="20"/>
        </w:rPr>
        <w:br/>
        <w:t>Jln. Terusan Ryacudu, Lampung 35365</w:t>
      </w:r>
    </w:p>
    <w:p w14:paraId="5E3C0716" w14:textId="77777777" w:rsidR="007B2105" w:rsidRPr="007B2105" w:rsidRDefault="007B2105" w:rsidP="007B2105">
      <w:pPr>
        <w:spacing w:line="240" w:lineRule="auto"/>
        <w:jc w:val="center"/>
        <w:rPr>
          <w:rFonts w:eastAsia="Times New Roman" w:cs="Times New Roman"/>
          <w:color w:val="000000"/>
          <w:sz w:val="20"/>
          <w:szCs w:val="20"/>
        </w:rPr>
      </w:pPr>
      <w:r w:rsidRPr="007B2105">
        <w:rPr>
          <w:rFonts w:eastAsia="Times New Roman" w:cs="Times New Roman"/>
          <w:color w:val="000000"/>
          <w:sz w:val="20"/>
          <w:szCs w:val="20"/>
          <w:vertAlign w:val="superscript"/>
        </w:rPr>
        <w:t>2</w:t>
      </w:r>
      <w:proofErr w:type="gramStart"/>
      <w:r w:rsidRPr="007B2105">
        <w:rPr>
          <w:rFonts w:eastAsia="Times New Roman" w:cs="Times New Roman"/>
          <w:color w:val="000000"/>
          <w:sz w:val="20"/>
          <w:szCs w:val="20"/>
          <w:vertAlign w:val="superscript"/>
        </w:rPr>
        <w:t>,3</w:t>
      </w:r>
      <w:proofErr w:type="gramEnd"/>
      <w:r w:rsidRPr="007B2105">
        <w:rPr>
          <w:rFonts w:eastAsia="Times New Roman" w:cs="Times New Roman"/>
          <w:color w:val="000000"/>
          <w:sz w:val="20"/>
          <w:szCs w:val="20"/>
        </w:rPr>
        <w:t xml:space="preserve"> Departemen Agribisnis Peternakan, PPPPTK Pertanian </w:t>
      </w:r>
      <w:r w:rsidRPr="007B2105">
        <w:rPr>
          <w:rFonts w:eastAsia="Times New Roman" w:cs="Times New Roman"/>
          <w:color w:val="000000"/>
          <w:sz w:val="20"/>
          <w:szCs w:val="20"/>
        </w:rPr>
        <w:br/>
        <w:t>Jln. Jangari km. 14 Cianjur 43281</w:t>
      </w:r>
    </w:p>
    <w:p w14:paraId="2DB43C9A" w14:textId="77777777" w:rsidR="007B2105" w:rsidRDefault="007B2105" w:rsidP="007B2105">
      <w:pPr>
        <w:spacing w:line="240" w:lineRule="auto"/>
        <w:jc w:val="center"/>
        <w:rPr>
          <w:rFonts w:eastAsia="Times New Roman" w:cs="Times New Roman"/>
          <w:color w:val="000000"/>
          <w:sz w:val="20"/>
          <w:szCs w:val="20"/>
          <w:lang w:val="id-ID"/>
        </w:rPr>
      </w:pPr>
    </w:p>
    <w:p w14:paraId="2CFFA311" w14:textId="77777777" w:rsidR="007B2105" w:rsidRPr="007B2105" w:rsidRDefault="00085E28" w:rsidP="007B2105">
      <w:pPr>
        <w:spacing w:line="240" w:lineRule="auto"/>
        <w:jc w:val="center"/>
        <w:rPr>
          <w:lang w:val="en-GB"/>
        </w:rPr>
      </w:pPr>
      <w:r w:rsidRPr="007B2105">
        <w:rPr>
          <w:rFonts w:eastAsia="Times New Roman" w:cs="Times New Roman"/>
          <w:color w:val="000000"/>
          <w:sz w:val="20"/>
          <w:szCs w:val="20"/>
          <w:lang w:val="id-ID"/>
        </w:rPr>
        <w:t>e</w:t>
      </w:r>
      <w:r w:rsidR="007B2105" w:rsidRPr="007B2105">
        <w:rPr>
          <w:rFonts w:eastAsia="Times New Roman" w:cs="Times New Roman"/>
          <w:color w:val="000000"/>
          <w:sz w:val="20"/>
          <w:szCs w:val="20"/>
          <w:lang w:val="id-ID"/>
        </w:rPr>
        <w:t xml:space="preserve"> </w:t>
      </w:r>
      <w:r w:rsidRPr="002D22A2">
        <w:rPr>
          <w:rFonts w:eastAsia="Times New Roman" w:cs="Times New Roman"/>
          <w:sz w:val="20"/>
          <w:szCs w:val="20"/>
          <w:lang w:val="id-ID"/>
        </w:rPr>
        <w:t xml:space="preserve">mail : </w:t>
      </w:r>
      <w:hyperlink r:id="rId8" w:history="1">
        <w:r w:rsidR="007B2105" w:rsidRPr="007B2105">
          <w:rPr>
            <w:rStyle w:val="Hyperlink"/>
            <w:color w:val="000000" w:themeColor="text1"/>
            <w:u w:val="none"/>
            <w:vertAlign w:val="superscript"/>
            <w:lang w:val="en-GB"/>
          </w:rPr>
          <w:t>1</w:t>
        </w:r>
        <w:r w:rsidR="007B2105" w:rsidRPr="007B2105">
          <w:rPr>
            <w:rStyle w:val="Hyperlink"/>
            <w:color w:val="000000" w:themeColor="text1"/>
            <w:u w:val="none"/>
            <w:lang w:val="en-GB"/>
          </w:rPr>
          <w:t>rizqa.fahadha@ti.itera.ac.id</w:t>
        </w:r>
      </w:hyperlink>
      <w:r w:rsidR="007B2105" w:rsidRPr="007B2105">
        <w:rPr>
          <w:lang w:val="en-GB"/>
        </w:rPr>
        <w:t xml:space="preserve">  (penulis korespondensi)</w:t>
      </w:r>
    </w:p>
    <w:p w14:paraId="715756EB" w14:textId="3B1197F7" w:rsidR="00085E28" w:rsidRPr="007B2105" w:rsidRDefault="00085E28" w:rsidP="007B2105">
      <w:pPr>
        <w:spacing w:line="240" w:lineRule="auto"/>
        <w:jc w:val="center"/>
        <w:rPr>
          <w:rFonts w:eastAsia="Times New Roman" w:cs="Times New Roman"/>
          <w:i/>
          <w:color w:val="0563C1" w:themeColor="hyperlink"/>
          <w:sz w:val="20"/>
          <w:szCs w:val="20"/>
          <w:u w:val="single"/>
          <w:lang w:val="en-GB"/>
        </w:rPr>
      </w:pPr>
    </w:p>
    <w:p w14:paraId="3EAE7772" w14:textId="77777777" w:rsidR="00085E28" w:rsidRPr="002D22A2" w:rsidRDefault="00085E28" w:rsidP="00085E28">
      <w:pPr>
        <w:spacing w:line="240" w:lineRule="auto"/>
        <w:jc w:val="center"/>
        <w:rPr>
          <w:rFonts w:eastAsia="Times New Roman" w:cs="Times New Roman"/>
          <w:b/>
          <w:sz w:val="22"/>
          <w:lang w:val="id-ID"/>
        </w:rPr>
      </w:pPr>
    </w:p>
    <w:p w14:paraId="2F815400" w14:textId="6E67BBC9" w:rsidR="007F0A11" w:rsidRDefault="007F0A11" w:rsidP="00085E28">
      <w:pPr>
        <w:spacing w:line="240" w:lineRule="auto"/>
        <w:jc w:val="center"/>
        <w:rPr>
          <w:rFonts w:eastAsia="Times New Roman" w:cs="Times New Roman"/>
          <w:b/>
          <w:sz w:val="20"/>
          <w:szCs w:val="20"/>
        </w:rPr>
      </w:pPr>
      <w:r>
        <w:rPr>
          <w:rFonts w:eastAsia="Times New Roman" w:cs="Times New Roman"/>
          <w:b/>
          <w:sz w:val="20"/>
          <w:szCs w:val="20"/>
        </w:rPr>
        <w:t>ABSTRACT</w:t>
      </w:r>
    </w:p>
    <w:p w14:paraId="570A1926" w14:textId="77777777" w:rsidR="007B2105" w:rsidRPr="007B2105" w:rsidRDefault="007B2105" w:rsidP="007B2105">
      <w:pPr>
        <w:spacing w:line="240" w:lineRule="auto"/>
        <w:ind w:firstLine="720"/>
        <w:jc w:val="both"/>
        <w:rPr>
          <w:rFonts w:eastAsia="Times New Roman" w:cs="Times New Roman"/>
          <w:bCs/>
          <w:i/>
          <w:iCs/>
          <w:sz w:val="20"/>
          <w:szCs w:val="20"/>
          <w:lang w:val="en-AU"/>
        </w:rPr>
      </w:pPr>
      <w:r w:rsidRPr="007B2105">
        <w:rPr>
          <w:rFonts w:eastAsia="Times New Roman" w:cs="Times New Roman"/>
          <w:bCs/>
          <w:i/>
          <w:iCs/>
          <w:sz w:val="20"/>
          <w:szCs w:val="20"/>
          <w:lang w:val="en-AU"/>
        </w:rPr>
        <w:t>The Study of supply chain risk in shallot commodity needs to take more concern. This is related to the increasing number of risks that faced in different the Industrial and business world. Based on these risks, currently the condition of the Shallot commodity supply chain performance is less than expected. In Relations of existence of risks in the supply chain, risk management plays an important role in keeping the supply chain system in order to be not disrupted. Risk Management is the part. Risk management is an integral part of the management process that runs continuously to minimize losses either increase opportunities or opportunities. This risk management process starts from the process of risk identification, risk assessment, mitigation, monitoring and evaluation. The purpose of this research is to evaluate the risk of supply chain shallot commodity. The Step that has to do is risk identification, risk analyze, and risk evaluation of supply chain. House of Risk (HOR) model is the method that used to identification, analyze, and evaluation the risk of shallot commodity.</w:t>
      </w:r>
    </w:p>
    <w:p w14:paraId="78BC2D77" w14:textId="77777777" w:rsidR="00D80CB2" w:rsidRPr="007B2105" w:rsidRDefault="00D80CB2" w:rsidP="00D80CB2">
      <w:pPr>
        <w:spacing w:line="240" w:lineRule="auto"/>
        <w:jc w:val="both"/>
        <w:rPr>
          <w:rFonts w:eastAsia="Times New Roman" w:cs="Times New Roman"/>
          <w:bCs/>
          <w:sz w:val="20"/>
          <w:szCs w:val="20"/>
          <w:lang w:val="en-AU"/>
        </w:rPr>
      </w:pPr>
    </w:p>
    <w:p w14:paraId="3A89A83A" w14:textId="16389850" w:rsidR="00D80CB2" w:rsidRPr="00D80CB2" w:rsidRDefault="00D80CB2" w:rsidP="007B2105">
      <w:pPr>
        <w:spacing w:line="240" w:lineRule="auto"/>
        <w:jc w:val="both"/>
        <w:rPr>
          <w:rFonts w:eastAsia="Times New Roman" w:cs="Times New Roman"/>
          <w:b/>
          <w:i/>
          <w:iCs/>
          <w:sz w:val="20"/>
          <w:szCs w:val="20"/>
        </w:rPr>
      </w:pPr>
      <w:r w:rsidRPr="00D80CB2">
        <w:rPr>
          <w:rFonts w:eastAsia="Times New Roman" w:cs="Times New Roman"/>
          <w:b/>
          <w:i/>
          <w:iCs/>
          <w:sz w:val="20"/>
          <w:szCs w:val="20"/>
        </w:rPr>
        <w:t xml:space="preserve">Keywords: </w:t>
      </w:r>
      <w:r w:rsidR="007B2105" w:rsidRPr="007B2105">
        <w:rPr>
          <w:rFonts w:eastAsia="Times New Roman" w:cs="Times New Roman"/>
          <w:b/>
          <w:i/>
          <w:iCs/>
          <w:sz w:val="20"/>
          <w:szCs w:val="20"/>
          <w:lang w:val="id-ID"/>
        </w:rPr>
        <w:t>Risk</w:t>
      </w:r>
      <w:r w:rsidR="007B2105" w:rsidRPr="007B2105">
        <w:rPr>
          <w:rFonts w:eastAsia="Times New Roman" w:cs="Times New Roman"/>
          <w:b/>
          <w:i/>
          <w:iCs/>
          <w:sz w:val="20"/>
          <w:szCs w:val="20"/>
        </w:rPr>
        <w:t xml:space="preserve"> Management; </w:t>
      </w:r>
      <w:r w:rsidR="007B2105" w:rsidRPr="007B2105">
        <w:rPr>
          <w:rFonts w:eastAsia="Times New Roman" w:cs="Times New Roman"/>
          <w:b/>
          <w:i/>
          <w:iCs/>
          <w:sz w:val="20"/>
          <w:szCs w:val="20"/>
          <w:lang w:val="id-ID"/>
        </w:rPr>
        <w:t>Shallot</w:t>
      </w:r>
      <w:r w:rsidR="007B2105" w:rsidRPr="007B2105">
        <w:rPr>
          <w:rFonts w:eastAsia="Times New Roman" w:cs="Times New Roman"/>
          <w:b/>
          <w:i/>
          <w:iCs/>
          <w:sz w:val="20"/>
          <w:szCs w:val="20"/>
        </w:rPr>
        <w:t xml:space="preserve"> Commodity;</w:t>
      </w:r>
      <w:r w:rsidR="007B2105" w:rsidRPr="007B2105">
        <w:rPr>
          <w:rFonts w:eastAsia="Times New Roman" w:cs="Times New Roman"/>
          <w:b/>
          <w:i/>
          <w:iCs/>
          <w:sz w:val="20"/>
          <w:szCs w:val="20"/>
          <w:lang w:val="id-ID"/>
        </w:rPr>
        <w:t xml:space="preserve"> Supply Chain</w:t>
      </w:r>
    </w:p>
    <w:p w14:paraId="0605C7A6" w14:textId="77777777" w:rsidR="00D80CB2" w:rsidRPr="00D80CB2" w:rsidRDefault="00D80CB2" w:rsidP="00D80CB2">
      <w:pPr>
        <w:spacing w:line="240" w:lineRule="auto"/>
        <w:jc w:val="both"/>
        <w:rPr>
          <w:rFonts w:eastAsia="Times New Roman" w:cs="Times New Roman"/>
          <w:bCs/>
          <w:i/>
          <w:iCs/>
          <w:sz w:val="20"/>
          <w:szCs w:val="20"/>
        </w:rPr>
      </w:pPr>
    </w:p>
    <w:p w14:paraId="462936D7" w14:textId="6B978976" w:rsidR="00085E28" w:rsidRPr="002D22A2" w:rsidRDefault="00085E28" w:rsidP="00085E28">
      <w:pPr>
        <w:spacing w:line="240" w:lineRule="auto"/>
        <w:jc w:val="center"/>
        <w:rPr>
          <w:rFonts w:eastAsia="Times New Roman" w:cs="Times New Roman"/>
          <w:b/>
          <w:sz w:val="20"/>
          <w:szCs w:val="20"/>
          <w:lang w:val="id-ID"/>
        </w:rPr>
      </w:pPr>
      <w:r w:rsidRPr="002D22A2">
        <w:rPr>
          <w:rFonts w:eastAsia="Times New Roman" w:cs="Times New Roman"/>
          <w:b/>
          <w:sz w:val="20"/>
          <w:szCs w:val="20"/>
          <w:lang w:val="id-ID"/>
        </w:rPr>
        <w:t>ABSTRAK</w:t>
      </w:r>
    </w:p>
    <w:p w14:paraId="6ACD062D" w14:textId="77777777" w:rsidR="007B2105" w:rsidRPr="007B2105" w:rsidRDefault="007B2105" w:rsidP="007B2105">
      <w:pPr>
        <w:spacing w:line="240" w:lineRule="auto"/>
        <w:ind w:firstLine="720"/>
        <w:contextualSpacing/>
        <w:jc w:val="both"/>
        <w:rPr>
          <w:rFonts w:eastAsia="Times New Roman" w:cs="Times New Roman"/>
          <w:i/>
          <w:iCs/>
          <w:sz w:val="20"/>
          <w:szCs w:val="20"/>
          <w:lang w:val="en-AU"/>
        </w:rPr>
      </w:pPr>
      <w:r w:rsidRPr="007B2105">
        <w:rPr>
          <w:rFonts w:eastAsia="Times New Roman" w:cs="Times New Roman"/>
          <w:i/>
          <w:iCs/>
          <w:sz w:val="20"/>
          <w:szCs w:val="20"/>
          <w:lang w:val="en-AU"/>
        </w:rPr>
        <w:t xml:space="preserve">Studi risiko rantai pasokan dalam komoditas bawang merah perlu lebih diperhatikan. Hal ini terkait dengan semakin banyaknya risiko yang dihadapi di berbagai dunia industri dan bisnis. Berdasarkan risiko ini, saat ini kondisi kinerja rantai pasokan komoditas Bawang Merah kurang dari yang diharapkan. Dalam Hubungan adanya risiko dalam rantai pasokan, manajemen risiko memainkan peran penting dalam menjaga sistem rantai pasokan agar tidak terganggu. Manajemen Risiko adalah bagiannya. Manajemen risiko adalah bagian integral dari proses manajemen yang berjalan terus menerus untuk meminimalkan kerugian baik meningkatkan peluang maupun peluang. Proses manajemen risiko ini dimulai dari proses identifikasi risiko, penilaian risiko, mitigasi, pemantauan dan evaluasi. Tujuan dari penelitian ini adalah untuk mengevaluasi risiko komoditas bawang merah rantai pasokan. Langkah yang harus dilakukan adalah identifikasi risiko, analisis risiko, dan evaluasi risiko rantai pasokan. Model House of Risk (HOR) adalah metode yang digunakan untuk mengidentifikasi, menganalisis, </w:t>
      </w:r>
      <w:proofErr w:type="gramStart"/>
      <w:r w:rsidRPr="007B2105">
        <w:rPr>
          <w:rFonts w:eastAsia="Times New Roman" w:cs="Times New Roman"/>
          <w:i/>
          <w:iCs/>
          <w:sz w:val="20"/>
          <w:szCs w:val="20"/>
          <w:lang w:val="en-AU"/>
        </w:rPr>
        <w:t>dan</w:t>
      </w:r>
      <w:proofErr w:type="gramEnd"/>
      <w:r w:rsidRPr="007B2105">
        <w:rPr>
          <w:rFonts w:eastAsia="Times New Roman" w:cs="Times New Roman"/>
          <w:i/>
          <w:iCs/>
          <w:sz w:val="20"/>
          <w:szCs w:val="20"/>
          <w:lang w:val="en-AU"/>
        </w:rPr>
        <w:t xml:space="preserve"> mengevaluasi risiko komoditas bawang merah.</w:t>
      </w:r>
    </w:p>
    <w:p w14:paraId="521D4AC1" w14:textId="77777777" w:rsidR="00085E28" w:rsidRPr="002D22A2" w:rsidRDefault="00085E28" w:rsidP="00085E28">
      <w:pPr>
        <w:spacing w:line="240" w:lineRule="auto"/>
        <w:contextualSpacing/>
        <w:jc w:val="both"/>
        <w:rPr>
          <w:rFonts w:eastAsia="Times New Roman" w:cs="Times New Roman"/>
          <w:b/>
          <w:bCs/>
          <w:i/>
          <w:iCs/>
          <w:sz w:val="20"/>
          <w:szCs w:val="20"/>
          <w:lang w:val="id-ID"/>
        </w:rPr>
      </w:pPr>
    </w:p>
    <w:p w14:paraId="74195F80" w14:textId="77777777" w:rsidR="007B2105" w:rsidRPr="007B2105" w:rsidRDefault="00085E28" w:rsidP="007B2105">
      <w:pPr>
        <w:spacing w:line="240" w:lineRule="auto"/>
        <w:contextualSpacing/>
        <w:jc w:val="both"/>
        <w:rPr>
          <w:rFonts w:eastAsia="Times New Roman" w:cs="Times New Roman"/>
          <w:b/>
          <w:bCs/>
          <w:i/>
          <w:iCs/>
          <w:sz w:val="20"/>
          <w:szCs w:val="20"/>
          <w:lang w:val="id-ID"/>
        </w:rPr>
      </w:pPr>
      <w:r w:rsidRPr="002D22A2">
        <w:rPr>
          <w:rFonts w:eastAsia="Times New Roman" w:cs="Times New Roman"/>
          <w:b/>
          <w:bCs/>
          <w:i/>
          <w:iCs/>
          <w:sz w:val="20"/>
          <w:szCs w:val="20"/>
          <w:lang w:val="id-ID"/>
        </w:rPr>
        <w:t>Kata Kunci</w:t>
      </w:r>
      <w:r w:rsidRPr="002D22A2">
        <w:rPr>
          <w:rFonts w:eastAsia="Times New Roman" w:cs="Times New Roman"/>
          <w:i/>
          <w:iCs/>
          <w:sz w:val="20"/>
          <w:szCs w:val="20"/>
          <w:lang w:val="id-ID"/>
        </w:rPr>
        <w:t xml:space="preserve">: </w:t>
      </w:r>
      <w:r w:rsidR="007B2105" w:rsidRPr="007B2105">
        <w:rPr>
          <w:rFonts w:eastAsia="Times New Roman" w:cs="Times New Roman"/>
          <w:b/>
          <w:bCs/>
          <w:i/>
          <w:iCs/>
          <w:sz w:val="20"/>
          <w:szCs w:val="20"/>
        </w:rPr>
        <w:t>komoditas bawang merah; manajemen risiko; rantai pasok</w:t>
      </w:r>
    </w:p>
    <w:p w14:paraId="0C71A844" w14:textId="77777777" w:rsidR="007B2105" w:rsidRPr="007B2105" w:rsidRDefault="007B2105" w:rsidP="007B2105">
      <w:pPr>
        <w:spacing w:line="240" w:lineRule="auto"/>
        <w:contextualSpacing/>
        <w:jc w:val="both"/>
        <w:rPr>
          <w:rFonts w:eastAsia="Times New Roman" w:cs="Times New Roman"/>
          <w:b/>
          <w:bCs/>
          <w:i/>
          <w:iCs/>
          <w:sz w:val="20"/>
          <w:szCs w:val="20"/>
          <w:lang w:val="en-GB"/>
        </w:rPr>
      </w:pPr>
    </w:p>
    <w:p w14:paraId="1B242ED2" w14:textId="77777777" w:rsidR="00085E28" w:rsidRPr="002D22A2" w:rsidRDefault="00085E28" w:rsidP="00085E28">
      <w:pPr>
        <w:numPr>
          <w:ilvl w:val="0"/>
          <w:numId w:val="2"/>
        </w:numPr>
        <w:spacing w:line="240" w:lineRule="auto"/>
        <w:ind w:hanging="720"/>
        <w:contextualSpacing/>
        <w:jc w:val="both"/>
        <w:rPr>
          <w:rFonts w:eastAsia="Calibri" w:cs="Times New Roman"/>
          <w:b/>
          <w:sz w:val="22"/>
          <w:lang w:val="id-ID"/>
        </w:rPr>
        <w:sectPr w:rsidR="00085E28" w:rsidRPr="002D22A2" w:rsidSect="002E0AF3">
          <w:headerReference w:type="even" r:id="rId9"/>
          <w:headerReference w:type="default" r:id="rId10"/>
          <w:footerReference w:type="even" r:id="rId11"/>
          <w:footerReference w:type="default" r:id="rId12"/>
          <w:pgSz w:w="11907" w:h="16840" w:code="9"/>
          <w:pgMar w:top="1440" w:right="1440" w:bottom="1440" w:left="1440" w:header="720" w:footer="720" w:gutter="0"/>
          <w:cols w:space="708"/>
          <w:docGrid w:linePitch="360"/>
        </w:sectPr>
      </w:pPr>
    </w:p>
    <w:p w14:paraId="5624FD56" w14:textId="6D913A5C" w:rsidR="00085E28" w:rsidRPr="002D22A2" w:rsidRDefault="00FF7F88" w:rsidP="00D20A89">
      <w:pPr>
        <w:spacing w:line="240" w:lineRule="auto"/>
        <w:contextualSpacing/>
        <w:jc w:val="both"/>
        <w:rPr>
          <w:rFonts w:eastAsia="Calibri" w:cs="Times New Roman"/>
          <w:b/>
          <w:sz w:val="22"/>
          <w:lang w:val="id-ID"/>
        </w:rPr>
      </w:pPr>
      <w:r w:rsidRPr="002D22A2">
        <w:rPr>
          <w:rFonts w:eastAsia="Calibri" w:cs="Times New Roman"/>
          <w:b/>
          <w:sz w:val="22"/>
          <w:lang w:val="id-ID"/>
        </w:rPr>
        <w:t xml:space="preserve">1. </w:t>
      </w:r>
      <w:r w:rsidR="00D20A89">
        <w:rPr>
          <w:rFonts w:eastAsia="Calibri" w:cs="Times New Roman"/>
          <w:b/>
          <w:sz w:val="22"/>
          <w:lang w:val="en-ID"/>
        </w:rPr>
        <w:t xml:space="preserve"> </w:t>
      </w:r>
      <w:r w:rsidR="00085E28" w:rsidRPr="002D22A2">
        <w:rPr>
          <w:rFonts w:eastAsia="Calibri" w:cs="Times New Roman"/>
          <w:b/>
          <w:sz w:val="22"/>
          <w:lang w:val="id-ID"/>
        </w:rPr>
        <w:t>PENDAHULUAN</w:t>
      </w:r>
    </w:p>
    <w:p w14:paraId="50B796AA" w14:textId="77777777" w:rsidR="007B2105" w:rsidRPr="007B2105" w:rsidRDefault="007B2105" w:rsidP="007B2105">
      <w:pPr>
        <w:spacing w:after="120" w:line="240" w:lineRule="auto"/>
        <w:ind w:firstLine="720"/>
        <w:jc w:val="both"/>
        <w:rPr>
          <w:rFonts w:eastAsia="Times New Roman" w:cs="Times New Roman"/>
          <w:bCs/>
          <w:sz w:val="22"/>
          <w:lang w:val="en-AU"/>
        </w:rPr>
      </w:pPr>
      <w:r w:rsidRPr="007B2105">
        <w:rPr>
          <w:rFonts w:eastAsia="Times New Roman" w:cs="Times New Roman"/>
          <w:bCs/>
          <w:sz w:val="22"/>
          <w:lang w:val="en-AU"/>
        </w:rPr>
        <w:t xml:space="preserve">Bawang merah merupakan salah satu komoditas yang sangat penting karena hampir selalu digunakan sebagai bumbu masak. Hal ini membuat permintaan bawang merah semakin meningkat yang ditunjukan oleh rata rata konsumsi bawang merah per kapita naik dari 0,520 ons per minggu pada tahun 2015 menjadi 0,542 ons per minggu pada tahun 2016 </w:t>
      </w:r>
      <w:sdt>
        <w:sdtPr>
          <w:rPr>
            <w:rFonts w:eastAsia="Times New Roman" w:cs="Times New Roman"/>
            <w:bCs/>
            <w:sz w:val="22"/>
            <w:lang w:val="en-AU"/>
          </w:rPr>
          <w:id w:val="776302307"/>
          <w:citation/>
        </w:sdtPr>
        <w:sdtContent>
          <w:r w:rsidRPr="007B2105">
            <w:rPr>
              <w:rFonts w:eastAsia="Times New Roman" w:cs="Times New Roman"/>
              <w:bCs/>
              <w:sz w:val="22"/>
              <w:lang w:val="en-AU"/>
            </w:rPr>
            <w:fldChar w:fldCharType="begin"/>
          </w:r>
          <w:r w:rsidRPr="007B2105">
            <w:rPr>
              <w:rFonts w:eastAsia="Times New Roman" w:cs="Times New Roman"/>
              <w:bCs/>
              <w:sz w:val="22"/>
              <w:lang w:val="en-AU"/>
            </w:rPr>
            <w:instrText xml:space="preserve"> CITATION Kem15 \l 1033 </w:instrText>
          </w:r>
          <w:r w:rsidRPr="007B2105">
            <w:rPr>
              <w:rFonts w:eastAsia="Times New Roman" w:cs="Times New Roman"/>
              <w:bCs/>
              <w:sz w:val="22"/>
              <w:lang w:val="en-AU"/>
            </w:rPr>
            <w:fldChar w:fldCharType="separate"/>
          </w:r>
          <w:r w:rsidRPr="007B2105">
            <w:rPr>
              <w:rFonts w:eastAsia="Times New Roman" w:cs="Times New Roman"/>
              <w:sz w:val="22"/>
              <w:lang w:val="en-AU"/>
            </w:rPr>
            <w:t>(Pertanian K. , 2015)</w:t>
          </w:r>
          <w:r w:rsidRPr="007B2105">
            <w:rPr>
              <w:rFonts w:eastAsia="Times New Roman" w:cs="Times New Roman"/>
              <w:sz w:val="22"/>
              <w:lang w:val="id-ID"/>
            </w:rPr>
            <w:fldChar w:fldCharType="end"/>
          </w:r>
        </w:sdtContent>
      </w:sdt>
      <w:r w:rsidRPr="007B2105">
        <w:rPr>
          <w:rFonts w:eastAsia="Times New Roman" w:cs="Times New Roman"/>
          <w:bCs/>
          <w:sz w:val="22"/>
          <w:lang w:val="en-AU"/>
        </w:rPr>
        <w:t>. Produksi bawang merah mencapai 1</w:t>
      </w:r>
      <w:proofErr w:type="gramStart"/>
      <w:r w:rsidRPr="007B2105">
        <w:rPr>
          <w:rFonts w:eastAsia="Times New Roman" w:cs="Times New Roman"/>
          <w:bCs/>
          <w:sz w:val="22"/>
          <w:lang w:val="en-AU"/>
        </w:rPr>
        <w:t>,08</w:t>
      </w:r>
      <w:proofErr w:type="gramEnd"/>
      <w:r w:rsidRPr="007B2105">
        <w:rPr>
          <w:rFonts w:eastAsia="Times New Roman" w:cs="Times New Roman"/>
          <w:bCs/>
          <w:sz w:val="22"/>
          <w:lang w:val="en-AU"/>
        </w:rPr>
        <w:t xml:space="preserve"> juta ton namun Pemerintah masih mengimpor bawang merah sebanyak 17.429-ton guna memenuhi permintaan pada tahun 2015 </w:t>
      </w:r>
      <w:sdt>
        <w:sdtPr>
          <w:rPr>
            <w:rFonts w:eastAsia="Times New Roman" w:cs="Times New Roman"/>
            <w:bCs/>
            <w:sz w:val="22"/>
            <w:lang w:val="en-AU"/>
          </w:rPr>
          <w:id w:val="1499382710"/>
          <w:citation/>
        </w:sdtPr>
        <w:sdtContent>
          <w:r w:rsidRPr="007B2105">
            <w:rPr>
              <w:rFonts w:eastAsia="Times New Roman" w:cs="Times New Roman"/>
              <w:bCs/>
              <w:sz w:val="22"/>
              <w:lang w:val="en-AU"/>
            </w:rPr>
            <w:fldChar w:fldCharType="begin"/>
          </w:r>
          <w:r w:rsidRPr="007B2105">
            <w:rPr>
              <w:rFonts w:eastAsia="Times New Roman" w:cs="Times New Roman"/>
              <w:bCs/>
              <w:sz w:val="22"/>
              <w:lang w:val="en-AU"/>
            </w:rPr>
            <w:instrText xml:space="preserve">CITATION Pus16 \l 1033 </w:instrText>
          </w:r>
          <w:r w:rsidRPr="007B2105">
            <w:rPr>
              <w:rFonts w:eastAsia="Times New Roman" w:cs="Times New Roman"/>
              <w:bCs/>
              <w:sz w:val="22"/>
              <w:lang w:val="en-AU"/>
            </w:rPr>
            <w:fldChar w:fldCharType="separate"/>
          </w:r>
          <w:r w:rsidRPr="007B2105">
            <w:rPr>
              <w:rFonts w:eastAsia="Times New Roman" w:cs="Times New Roman"/>
              <w:sz w:val="22"/>
              <w:lang w:val="en-AU"/>
            </w:rPr>
            <w:t>(Pertanian P. d., 2016)</w:t>
          </w:r>
          <w:r w:rsidRPr="007B2105">
            <w:rPr>
              <w:rFonts w:eastAsia="Times New Roman" w:cs="Times New Roman"/>
              <w:sz w:val="22"/>
              <w:lang w:val="id-ID"/>
            </w:rPr>
            <w:fldChar w:fldCharType="end"/>
          </w:r>
        </w:sdtContent>
      </w:sdt>
      <w:r w:rsidRPr="007B2105">
        <w:rPr>
          <w:rFonts w:eastAsia="Times New Roman" w:cs="Times New Roman"/>
          <w:bCs/>
          <w:sz w:val="22"/>
          <w:lang w:val="en-AU"/>
        </w:rPr>
        <w:t xml:space="preserve">. Guna mengatasi hal tersebut, pemerintah melalui Rancangan Induk </w:t>
      </w:r>
      <w:r w:rsidRPr="007B2105">
        <w:rPr>
          <w:rFonts w:eastAsia="Times New Roman" w:cs="Times New Roman"/>
          <w:bCs/>
          <w:sz w:val="22"/>
          <w:lang w:val="en-AU"/>
        </w:rPr>
        <w:t>Pengembangan Industri Nasional (RIPIN) tahun 2015 menunjuk Lampung Tengah menjadi salah satu sentra produksi bawang merah di Indonesia. Beberapa kawasan di Lampung Tengah dikembangkan untuk produksi bawang merah yang didukung oleh Rancangan Pengembangan Industri Kabupaten (RPIK) Lampung Tengah</w:t>
      </w:r>
      <w:sdt>
        <w:sdtPr>
          <w:rPr>
            <w:rFonts w:eastAsia="Times New Roman" w:cs="Times New Roman"/>
            <w:bCs/>
            <w:sz w:val="22"/>
            <w:lang w:val="en-AU"/>
          </w:rPr>
          <w:id w:val="-266316350"/>
          <w:citation/>
        </w:sdtPr>
        <w:sdtContent>
          <w:r w:rsidRPr="007B2105">
            <w:rPr>
              <w:rFonts w:eastAsia="Times New Roman" w:cs="Times New Roman"/>
              <w:bCs/>
              <w:sz w:val="22"/>
              <w:lang w:val="en-AU"/>
            </w:rPr>
            <w:fldChar w:fldCharType="begin"/>
          </w:r>
          <w:r w:rsidRPr="007B2105">
            <w:rPr>
              <w:rFonts w:eastAsia="Times New Roman" w:cs="Times New Roman"/>
              <w:bCs/>
              <w:sz w:val="22"/>
              <w:lang w:val="en-AU"/>
            </w:rPr>
            <w:instrText xml:space="preserve"> CITATION Pem17 \l 1033 </w:instrText>
          </w:r>
          <w:r w:rsidRPr="007B2105">
            <w:rPr>
              <w:rFonts w:eastAsia="Times New Roman" w:cs="Times New Roman"/>
              <w:bCs/>
              <w:sz w:val="22"/>
              <w:lang w:val="en-AU"/>
            </w:rPr>
            <w:fldChar w:fldCharType="separate"/>
          </w:r>
          <w:r w:rsidRPr="007B2105">
            <w:rPr>
              <w:rFonts w:eastAsia="Times New Roman" w:cs="Times New Roman"/>
              <w:bCs/>
              <w:sz w:val="22"/>
              <w:lang w:val="en-AU"/>
            </w:rPr>
            <w:t xml:space="preserve"> </w:t>
          </w:r>
          <w:r w:rsidRPr="007B2105">
            <w:rPr>
              <w:rFonts w:eastAsia="Times New Roman" w:cs="Times New Roman"/>
              <w:sz w:val="22"/>
              <w:lang w:val="en-AU"/>
            </w:rPr>
            <w:t>(Lampung, 2017)</w:t>
          </w:r>
          <w:r w:rsidRPr="007B2105">
            <w:rPr>
              <w:rFonts w:eastAsia="Times New Roman" w:cs="Times New Roman"/>
              <w:sz w:val="22"/>
              <w:lang w:val="id-ID"/>
            </w:rPr>
            <w:fldChar w:fldCharType="end"/>
          </w:r>
        </w:sdtContent>
      </w:sdt>
      <w:r w:rsidRPr="007B2105">
        <w:rPr>
          <w:rFonts w:eastAsia="Times New Roman" w:cs="Times New Roman"/>
          <w:bCs/>
          <w:sz w:val="22"/>
          <w:lang w:val="en-AU"/>
        </w:rPr>
        <w:t xml:space="preserve">. </w:t>
      </w:r>
    </w:p>
    <w:p w14:paraId="2E1BC649" w14:textId="77777777" w:rsidR="007B2105" w:rsidRPr="007B2105" w:rsidRDefault="007B2105" w:rsidP="007B2105">
      <w:pPr>
        <w:spacing w:after="120" w:line="240" w:lineRule="auto"/>
        <w:ind w:firstLine="720"/>
        <w:jc w:val="both"/>
        <w:rPr>
          <w:rFonts w:eastAsia="Times New Roman" w:cs="Times New Roman"/>
          <w:bCs/>
          <w:sz w:val="22"/>
          <w:lang w:val="en-AU"/>
        </w:rPr>
      </w:pPr>
      <w:r w:rsidRPr="007B2105">
        <w:rPr>
          <w:rFonts w:eastAsia="Times New Roman" w:cs="Times New Roman"/>
          <w:bCs/>
          <w:sz w:val="22"/>
          <w:lang w:val="en-AU"/>
        </w:rPr>
        <w:t xml:space="preserve">Guna peningkatan produktivitas, studi risiko rantai pasok komoditas bawang merah menjadi hal penting sehingga perlu mendapat perhatian yang komprehensif </w:t>
      </w:r>
      <w:sdt>
        <w:sdtPr>
          <w:rPr>
            <w:rFonts w:eastAsia="Times New Roman" w:cs="Times New Roman"/>
            <w:bCs/>
            <w:sz w:val="22"/>
            <w:lang w:val="en-AU"/>
          </w:rPr>
          <w:id w:val="853767156"/>
          <w:citation/>
        </w:sdtPr>
        <w:sdtContent>
          <w:r w:rsidRPr="007B2105">
            <w:rPr>
              <w:rFonts w:eastAsia="Times New Roman" w:cs="Times New Roman"/>
              <w:bCs/>
              <w:sz w:val="22"/>
              <w:lang w:val="en-AU"/>
            </w:rPr>
            <w:fldChar w:fldCharType="begin"/>
          </w:r>
          <w:r w:rsidRPr="007B2105">
            <w:rPr>
              <w:rFonts w:eastAsia="Times New Roman" w:cs="Times New Roman"/>
              <w:bCs/>
              <w:sz w:val="22"/>
              <w:lang w:val="en-AU"/>
            </w:rPr>
            <w:instrText xml:space="preserve"> CITATION Dar15 \l 1033 </w:instrText>
          </w:r>
          <w:r w:rsidRPr="007B2105">
            <w:rPr>
              <w:rFonts w:eastAsia="Times New Roman" w:cs="Times New Roman"/>
              <w:bCs/>
              <w:sz w:val="22"/>
              <w:lang w:val="en-AU"/>
            </w:rPr>
            <w:fldChar w:fldCharType="separate"/>
          </w:r>
          <w:r w:rsidRPr="007B2105">
            <w:rPr>
              <w:rFonts w:eastAsia="Times New Roman" w:cs="Times New Roman"/>
              <w:sz w:val="22"/>
              <w:lang w:val="en-AU"/>
            </w:rPr>
            <w:t>(Darkow, 2015)</w:t>
          </w:r>
          <w:r w:rsidRPr="007B2105">
            <w:rPr>
              <w:rFonts w:eastAsia="Times New Roman" w:cs="Times New Roman"/>
              <w:sz w:val="22"/>
              <w:lang w:val="id-ID"/>
            </w:rPr>
            <w:fldChar w:fldCharType="end"/>
          </w:r>
        </w:sdtContent>
      </w:sdt>
      <w:r w:rsidRPr="007B2105">
        <w:rPr>
          <w:rFonts w:eastAsia="Times New Roman" w:cs="Times New Roman"/>
          <w:bCs/>
          <w:sz w:val="22"/>
          <w:lang w:val="en-AU"/>
        </w:rPr>
        <w:t xml:space="preserve">. Hal ini terkait semakin banyaknya risiko yang dihadapi dapat menyebabkan gangguan pasokan sampai ke konsumen akhir sehingga merugikan </w:t>
      </w:r>
      <w:r w:rsidRPr="007B2105">
        <w:rPr>
          <w:rFonts w:eastAsia="Times New Roman" w:cs="Times New Roman"/>
          <w:bCs/>
          <w:sz w:val="22"/>
          <w:lang w:val="en-AU"/>
        </w:rPr>
        <w:lastRenderedPageBreak/>
        <w:t xml:space="preserve">baik produsen, distributor maupun konsumen </w:t>
      </w:r>
      <w:sdt>
        <w:sdtPr>
          <w:rPr>
            <w:rFonts w:eastAsia="Times New Roman" w:cs="Times New Roman"/>
            <w:bCs/>
            <w:sz w:val="22"/>
            <w:lang w:val="en-AU"/>
          </w:rPr>
          <w:id w:val="-1896726442"/>
          <w:citation/>
        </w:sdtPr>
        <w:sdtContent>
          <w:r w:rsidRPr="007B2105">
            <w:rPr>
              <w:rFonts w:eastAsia="Times New Roman" w:cs="Times New Roman"/>
              <w:bCs/>
              <w:sz w:val="22"/>
              <w:lang w:val="en-AU"/>
            </w:rPr>
            <w:fldChar w:fldCharType="begin"/>
          </w:r>
          <w:r w:rsidRPr="007B2105">
            <w:rPr>
              <w:rFonts w:eastAsia="Times New Roman" w:cs="Times New Roman"/>
              <w:bCs/>
              <w:sz w:val="22"/>
              <w:lang w:val="en-AU"/>
            </w:rPr>
            <w:instrText xml:space="preserve"> CITATION Gha12 \l 1033 </w:instrText>
          </w:r>
          <w:r w:rsidRPr="007B2105">
            <w:rPr>
              <w:rFonts w:eastAsia="Times New Roman" w:cs="Times New Roman"/>
              <w:bCs/>
              <w:sz w:val="22"/>
              <w:lang w:val="en-AU"/>
            </w:rPr>
            <w:fldChar w:fldCharType="separate"/>
          </w:r>
          <w:r w:rsidRPr="007B2105">
            <w:rPr>
              <w:rFonts w:eastAsia="Times New Roman" w:cs="Times New Roman"/>
              <w:sz w:val="22"/>
              <w:lang w:val="en-AU"/>
            </w:rPr>
            <w:t>(Ghadge, 2012)</w:t>
          </w:r>
          <w:r w:rsidRPr="007B2105">
            <w:rPr>
              <w:rFonts w:eastAsia="Times New Roman" w:cs="Times New Roman"/>
              <w:sz w:val="22"/>
              <w:lang w:val="id-ID"/>
            </w:rPr>
            <w:fldChar w:fldCharType="end"/>
          </w:r>
        </w:sdtContent>
      </w:sdt>
      <w:r w:rsidRPr="007B2105">
        <w:rPr>
          <w:rFonts w:eastAsia="Times New Roman" w:cs="Times New Roman"/>
          <w:bCs/>
          <w:sz w:val="22"/>
          <w:lang w:val="en-AU"/>
        </w:rPr>
        <w:t xml:space="preserve">. Berkaitan dengan adanya risiko dalam rantai pasok maka manajemen risiko berperan penting untuk menjaga agar sistem rantai pasok tidak terganggu </w:t>
      </w:r>
      <w:sdt>
        <w:sdtPr>
          <w:rPr>
            <w:rFonts w:eastAsia="Times New Roman" w:cs="Times New Roman"/>
            <w:bCs/>
            <w:sz w:val="22"/>
            <w:lang w:val="en-AU"/>
          </w:rPr>
          <w:id w:val="-1116054552"/>
          <w:citation/>
        </w:sdtPr>
        <w:sdtContent>
          <w:r w:rsidRPr="007B2105">
            <w:rPr>
              <w:rFonts w:eastAsia="Times New Roman" w:cs="Times New Roman"/>
              <w:bCs/>
              <w:sz w:val="22"/>
              <w:lang w:val="en-AU"/>
            </w:rPr>
            <w:fldChar w:fldCharType="begin"/>
          </w:r>
          <w:r w:rsidRPr="007B2105">
            <w:rPr>
              <w:rFonts w:eastAsia="Times New Roman" w:cs="Times New Roman"/>
              <w:bCs/>
              <w:sz w:val="22"/>
              <w:lang w:val="en-AU"/>
            </w:rPr>
            <w:instrText xml:space="preserve"> CITATION Puj10 \l 1033 </w:instrText>
          </w:r>
          <w:r w:rsidRPr="007B2105">
            <w:rPr>
              <w:rFonts w:eastAsia="Times New Roman" w:cs="Times New Roman"/>
              <w:bCs/>
              <w:sz w:val="22"/>
              <w:lang w:val="en-AU"/>
            </w:rPr>
            <w:fldChar w:fldCharType="separate"/>
          </w:r>
          <w:r w:rsidRPr="007B2105">
            <w:rPr>
              <w:rFonts w:eastAsia="Times New Roman" w:cs="Times New Roman"/>
              <w:sz w:val="22"/>
              <w:lang w:val="en-AU"/>
            </w:rPr>
            <w:t>(Pujawan, 2010)</w:t>
          </w:r>
          <w:r w:rsidRPr="007B2105">
            <w:rPr>
              <w:rFonts w:eastAsia="Times New Roman" w:cs="Times New Roman"/>
              <w:sz w:val="22"/>
              <w:lang w:val="id-ID"/>
            </w:rPr>
            <w:fldChar w:fldCharType="end"/>
          </w:r>
        </w:sdtContent>
      </w:sdt>
      <w:r w:rsidRPr="007B2105">
        <w:rPr>
          <w:rFonts w:eastAsia="Times New Roman" w:cs="Times New Roman"/>
          <w:bCs/>
          <w:sz w:val="22"/>
          <w:lang w:val="en-AU"/>
        </w:rPr>
        <w:t xml:space="preserve">. Tujuan dari penelitian ini adalah merancang strategi untuk memitigasi risiko yang terjadi pada rantai pasok komoditas bawang merah. </w:t>
      </w:r>
    </w:p>
    <w:p w14:paraId="7A929FC7" w14:textId="77777777" w:rsidR="007B2105" w:rsidRPr="007B2105" w:rsidRDefault="007B2105" w:rsidP="007B2105">
      <w:pPr>
        <w:spacing w:after="120" w:line="240" w:lineRule="auto"/>
        <w:ind w:firstLine="720"/>
        <w:jc w:val="both"/>
        <w:rPr>
          <w:rFonts w:eastAsia="Times New Roman" w:cs="Times New Roman"/>
          <w:sz w:val="22"/>
          <w:lang w:val="en-ID"/>
        </w:rPr>
      </w:pPr>
      <w:r w:rsidRPr="007B2105">
        <w:rPr>
          <w:rFonts w:eastAsia="Times New Roman" w:cs="Times New Roman"/>
          <w:sz w:val="22"/>
          <w:lang w:val="en-AU"/>
        </w:rPr>
        <w:t xml:space="preserve">Pada faktanya, manajemen risiko telah banyak menjadi topik penelitian walaupun dalam konteks </w:t>
      </w:r>
      <w:r w:rsidRPr="007B2105">
        <w:rPr>
          <w:rFonts w:eastAsia="Times New Roman" w:cs="Times New Roman"/>
          <w:sz w:val="22"/>
          <w:lang w:val="en-ID"/>
        </w:rPr>
        <w:t>rantai pasok</w:t>
      </w:r>
      <w:r w:rsidRPr="007B2105">
        <w:rPr>
          <w:rFonts w:eastAsia="Times New Roman" w:cs="Times New Roman"/>
          <w:sz w:val="22"/>
          <w:lang w:val="en-AU"/>
        </w:rPr>
        <w:t xml:space="preserve"> merupakan bidang baru sehingga menarik untuk dilakukan penelitian lebih lanjut </w:t>
      </w:r>
      <w:sdt>
        <w:sdtPr>
          <w:rPr>
            <w:rFonts w:eastAsia="Times New Roman" w:cs="Times New Roman"/>
            <w:sz w:val="22"/>
            <w:lang w:val="en-AU"/>
          </w:rPr>
          <w:id w:val="1249764590"/>
          <w:citation/>
        </w:sdtPr>
        <w:sdtContent>
          <w:r w:rsidRPr="007B2105">
            <w:rPr>
              <w:rFonts w:eastAsia="Times New Roman" w:cs="Times New Roman"/>
              <w:sz w:val="22"/>
              <w:lang w:val="en-AU"/>
            </w:rPr>
            <w:fldChar w:fldCharType="begin"/>
          </w:r>
          <w:r w:rsidRPr="007B2105">
            <w:rPr>
              <w:rFonts w:eastAsia="Times New Roman" w:cs="Times New Roman"/>
              <w:sz w:val="22"/>
              <w:lang w:val="en-AU"/>
            </w:rPr>
            <w:instrText xml:space="preserve"> CITATION Gha12 \l 1033 </w:instrText>
          </w:r>
          <w:r w:rsidRPr="007B2105">
            <w:rPr>
              <w:rFonts w:eastAsia="Times New Roman" w:cs="Times New Roman"/>
              <w:sz w:val="22"/>
              <w:lang w:val="en-AU"/>
            </w:rPr>
            <w:fldChar w:fldCharType="separate"/>
          </w:r>
          <w:r w:rsidRPr="007B2105">
            <w:rPr>
              <w:rFonts w:eastAsia="Times New Roman" w:cs="Times New Roman"/>
              <w:sz w:val="22"/>
              <w:lang w:val="en-AU"/>
            </w:rPr>
            <w:t>(Ghadge, 2012)</w:t>
          </w:r>
          <w:r w:rsidRPr="007B2105">
            <w:rPr>
              <w:rFonts w:eastAsia="Times New Roman" w:cs="Times New Roman"/>
              <w:sz w:val="22"/>
              <w:lang w:val="id-ID"/>
            </w:rPr>
            <w:fldChar w:fldCharType="end"/>
          </w:r>
        </w:sdtContent>
      </w:sdt>
      <w:r w:rsidRPr="007B2105">
        <w:rPr>
          <w:rFonts w:eastAsia="Times New Roman" w:cs="Times New Roman"/>
          <w:sz w:val="22"/>
          <w:lang w:val="en-AU"/>
        </w:rPr>
        <w:t xml:space="preserve">. Lingkungan bisnis yang tidak pasti dan hubungan yang kompleks antar entitas, telah membuat </w:t>
      </w:r>
      <w:r w:rsidRPr="007B2105">
        <w:rPr>
          <w:rFonts w:eastAsia="Times New Roman" w:cs="Times New Roman"/>
          <w:sz w:val="22"/>
          <w:lang w:val="en-ID"/>
        </w:rPr>
        <w:t>rantai pasok</w:t>
      </w:r>
      <w:r w:rsidRPr="007B2105">
        <w:rPr>
          <w:rFonts w:eastAsia="Times New Roman" w:cs="Times New Roman"/>
          <w:sz w:val="22"/>
          <w:lang w:val="en-AU"/>
        </w:rPr>
        <w:t xml:space="preserve"> rentan terhadap berbagai risiko </w:t>
      </w:r>
      <w:sdt>
        <w:sdtPr>
          <w:rPr>
            <w:rFonts w:eastAsia="Times New Roman" w:cs="Times New Roman"/>
            <w:sz w:val="22"/>
            <w:lang w:val="en-AU"/>
          </w:rPr>
          <w:id w:val="1118100026"/>
          <w:citation/>
        </w:sdtPr>
        <w:sdtContent>
          <w:r w:rsidRPr="007B2105">
            <w:rPr>
              <w:rFonts w:eastAsia="Times New Roman" w:cs="Times New Roman"/>
              <w:sz w:val="22"/>
              <w:lang w:val="en-AU"/>
            </w:rPr>
            <w:fldChar w:fldCharType="begin"/>
          </w:r>
          <w:r w:rsidRPr="007B2105">
            <w:rPr>
              <w:rFonts w:eastAsia="Times New Roman" w:cs="Times New Roman"/>
              <w:sz w:val="22"/>
              <w:lang w:val="en-AU"/>
            </w:rPr>
            <w:instrText xml:space="preserve"> CITATION Ima08 \l 1033 </w:instrText>
          </w:r>
          <w:r w:rsidRPr="007B2105">
            <w:rPr>
              <w:rFonts w:eastAsia="Times New Roman" w:cs="Times New Roman"/>
              <w:sz w:val="22"/>
              <w:lang w:val="en-AU"/>
            </w:rPr>
            <w:fldChar w:fldCharType="separate"/>
          </w:r>
          <w:r w:rsidRPr="007B2105">
            <w:rPr>
              <w:rFonts w:eastAsia="Times New Roman" w:cs="Times New Roman"/>
              <w:sz w:val="22"/>
              <w:lang w:val="en-AU"/>
            </w:rPr>
            <w:t>(I. manuj, J. T. Mentzer, 2008)</w:t>
          </w:r>
          <w:r w:rsidRPr="007B2105">
            <w:rPr>
              <w:rFonts w:eastAsia="Times New Roman" w:cs="Times New Roman"/>
              <w:sz w:val="22"/>
              <w:lang w:val="id-ID"/>
            </w:rPr>
            <w:fldChar w:fldCharType="end"/>
          </w:r>
        </w:sdtContent>
      </w:sdt>
      <w:r w:rsidRPr="007B2105">
        <w:rPr>
          <w:rFonts w:eastAsia="Times New Roman" w:cs="Times New Roman"/>
          <w:sz w:val="22"/>
          <w:lang w:val="en-AU"/>
        </w:rPr>
        <w:t xml:space="preserve">. Sehingga diperlukan suatu pendekatan untuk mengurangi dan menanggulangi risiko untuk memastikan kualitas produk tetap prima terlebih penelitian risiko rantai pasok pada </w:t>
      </w:r>
      <w:r w:rsidRPr="007B2105">
        <w:rPr>
          <w:rFonts w:eastAsia="Times New Roman" w:cs="Times New Roman"/>
          <w:i/>
          <w:sz w:val="22"/>
          <w:lang w:val="en-AU"/>
        </w:rPr>
        <w:t xml:space="preserve">perishable food </w:t>
      </w:r>
      <w:r w:rsidRPr="007B2105">
        <w:rPr>
          <w:rFonts w:eastAsia="Times New Roman" w:cs="Times New Roman"/>
          <w:sz w:val="22"/>
          <w:lang w:val="en-AU"/>
        </w:rPr>
        <w:t>yang masih sangat kurang</w:t>
      </w:r>
      <w:r w:rsidRPr="007B2105">
        <w:rPr>
          <w:rFonts w:eastAsia="Times New Roman" w:cs="Times New Roman"/>
          <w:i/>
          <w:sz w:val="22"/>
          <w:lang w:val="en-AU"/>
        </w:rPr>
        <w:t xml:space="preserve">. </w:t>
      </w:r>
      <w:sdt>
        <w:sdtPr>
          <w:rPr>
            <w:rFonts w:eastAsia="Times New Roman" w:cs="Times New Roman"/>
            <w:i/>
            <w:sz w:val="22"/>
            <w:lang w:val="en-AU"/>
          </w:rPr>
          <w:id w:val="2088653523"/>
          <w:citation/>
        </w:sdtPr>
        <w:sdtContent>
          <w:r w:rsidRPr="007B2105">
            <w:rPr>
              <w:rFonts w:eastAsia="Times New Roman" w:cs="Times New Roman"/>
              <w:i/>
              <w:sz w:val="22"/>
              <w:lang w:val="en-AU"/>
            </w:rPr>
            <w:fldChar w:fldCharType="begin"/>
          </w:r>
          <w:r w:rsidRPr="007B2105">
            <w:rPr>
              <w:rFonts w:eastAsia="Times New Roman" w:cs="Times New Roman"/>
              <w:sz w:val="22"/>
              <w:lang w:val="en-AU"/>
            </w:rPr>
            <w:instrText xml:space="preserve"> CITATION WAR14 \l 1033 </w:instrText>
          </w:r>
          <w:r w:rsidRPr="007B2105">
            <w:rPr>
              <w:rFonts w:eastAsia="Times New Roman" w:cs="Times New Roman"/>
              <w:i/>
              <w:sz w:val="22"/>
              <w:lang w:val="en-AU"/>
            </w:rPr>
            <w:fldChar w:fldCharType="separate"/>
          </w:r>
          <w:r w:rsidRPr="007B2105">
            <w:rPr>
              <w:rFonts w:eastAsia="Times New Roman" w:cs="Times New Roman"/>
              <w:sz w:val="22"/>
              <w:lang w:val="en-AU"/>
            </w:rPr>
            <w:t>(W. A. Riijpkema, 2014)</w:t>
          </w:r>
          <w:r w:rsidRPr="007B2105">
            <w:rPr>
              <w:rFonts w:eastAsia="Times New Roman" w:cs="Times New Roman"/>
              <w:sz w:val="22"/>
              <w:lang w:val="id-ID"/>
            </w:rPr>
            <w:fldChar w:fldCharType="end"/>
          </w:r>
        </w:sdtContent>
      </w:sdt>
      <w:r w:rsidRPr="007B2105">
        <w:rPr>
          <w:rFonts w:eastAsia="Times New Roman" w:cs="Times New Roman"/>
          <w:sz w:val="22"/>
          <w:lang w:val="en-AU"/>
        </w:rPr>
        <w:t>.</w:t>
      </w:r>
      <w:r w:rsidRPr="007B2105">
        <w:rPr>
          <w:rFonts w:eastAsia="Times New Roman" w:cs="Times New Roman"/>
          <w:sz w:val="22"/>
          <w:lang w:val="en-ID"/>
        </w:rPr>
        <w:t xml:space="preserve"> </w:t>
      </w:r>
    </w:p>
    <w:p w14:paraId="66089D83" w14:textId="77777777" w:rsidR="007B2105" w:rsidRPr="007B2105" w:rsidRDefault="007B2105" w:rsidP="007B2105">
      <w:pPr>
        <w:spacing w:after="120" w:line="240" w:lineRule="auto"/>
        <w:ind w:firstLine="720"/>
        <w:jc w:val="both"/>
        <w:rPr>
          <w:rFonts w:eastAsia="Times New Roman" w:cs="Times New Roman"/>
          <w:sz w:val="22"/>
          <w:lang w:val="sv-SE"/>
        </w:rPr>
      </w:pPr>
      <w:r w:rsidRPr="007B2105">
        <w:rPr>
          <w:rFonts w:eastAsia="Times New Roman" w:cs="Times New Roman"/>
          <w:bCs/>
          <w:sz w:val="22"/>
          <w:lang w:val="en-ID"/>
        </w:rPr>
        <w:t xml:space="preserve">Pada penelitian ini melakukan pengembangan metode </w:t>
      </w:r>
      <w:r w:rsidRPr="007B2105">
        <w:rPr>
          <w:rFonts w:eastAsia="Times New Roman" w:cs="Times New Roman"/>
          <w:bCs/>
          <w:i/>
          <w:sz w:val="22"/>
          <w:lang w:val="en-ID"/>
        </w:rPr>
        <w:t xml:space="preserve">House of Risk </w:t>
      </w:r>
      <w:r w:rsidRPr="007B2105">
        <w:rPr>
          <w:rFonts w:eastAsia="Times New Roman" w:cs="Times New Roman"/>
          <w:bCs/>
          <w:sz w:val="22"/>
          <w:lang w:val="en-ID"/>
        </w:rPr>
        <w:t xml:space="preserve">(HOR) yang terbukti merupakan suatu pendekatan proaktif yang dapat memitigasi risiko yang terjadi. Metode ini merupakan modifikasi dari metode </w:t>
      </w:r>
      <w:r w:rsidRPr="007B2105">
        <w:rPr>
          <w:rFonts w:eastAsia="Times New Roman" w:cs="Times New Roman"/>
          <w:bCs/>
          <w:i/>
          <w:sz w:val="22"/>
          <w:lang w:val="en-ID"/>
        </w:rPr>
        <w:t>failure mode and effect analysis</w:t>
      </w:r>
      <w:r w:rsidRPr="007B2105">
        <w:rPr>
          <w:rFonts w:eastAsia="Times New Roman" w:cs="Times New Roman"/>
          <w:bCs/>
          <w:sz w:val="22"/>
          <w:lang w:val="en-ID"/>
        </w:rPr>
        <w:t xml:space="preserve"> (FMEA) dengan </w:t>
      </w:r>
      <w:r w:rsidRPr="007B2105">
        <w:rPr>
          <w:rFonts w:eastAsia="Times New Roman" w:cs="Times New Roman"/>
          <w:bCs/>
          <w:i/>
          <w:sz w:val="22"/>
          <w:lang w:val="en-ID"/>
        </w:rPr>
        <w:t xml:space="preserve">house of quality </w:t>
      </w:r>
      <w:r w:rsidRPr="007B2105">
        <w:rPr>
          <w:rFonts w:eastAsia="Times New Roman" w:cs="Times New Roman"/>
          <w:bCs/>
          <w:sz w:val="22"/>
          <w:lang w:val="en-ID"/>
        </w:rPr>
        <w:t xml:space="preserve">(HOQ) </w:t>
      </w:r>
      <w:sdt>
        <w:sdtPr>
          <w:rPr>
            <w:rFonts w:eastAsia="Times New Roman" w:cs="Times New Roman"/>
            <w:bCs/>
            <w:sz w:val="22"/>
            <w:lang w:val="en-ID"/>
          </w:rPr>
          <w:id w:val="-1218967989"/>
          <w:citation/>
        </w:sdtPr>
        <w:sdtContent>
          <w:r w:rsidRPr="007B2105">
            <w:rPr>
              <w:rFonts w:eastAsia="Times New Roman" w:cs="Times New Roman"/>
              <w:bCs/>
              <w:sz w:val="22"/>
              <w:lang w:val="en-ID"/>
            </w:rPr>
            <w:fldChar w:fldCharType="begin"/>
          </w:r>
          <w:r w:rsidRPr="007B2105">
            <w:rPr>
              <w:rFonts w:eastAsia="Times New Roman" w:cs="Times New Roman"/>
              <w:bCs/>
              <w:sz w:val="22"/>
              <w:lang w:val="en-AU"/>
            </w:rPr>
            <w:instrText xml:space="preserve">CITATION INP09 \l 1033 </w:instrText>
          </w:r>
          <w:r w:rsidRPr="007B2105">
            <w:rPr>
              <w:rFonts w:eastAsia="Times New Roman" w:cs="Times New Roman"/>
              <w:bCs/>
              <w:sz w:val="22"/>
              <w:lang w:val="en-ID"/>
            </w:rPr>
            <w:fldChar w:fldCharType="separate"/>
          </w:r>
          <w:r w:rsidRPr="007B2105">
            <w:rPr>
              <w:rFonts w:eastAsia="Times New Roman" w:cs="Times New Roman"/>
              <w:sz w:val="22"/>
              <w:lang w:val="en-ID"/>
            </w:rPr>
            <w:t>(I Nyoman Pujawan, 2009)</w:t>
          </w:r>
          <w:r w:rsidRPr="007B2105">
            <w:rPr>
              <w:rFonts w:eastAsia="Times New Roman" w:cs="Times New Roman"/>
              <w:sz w:val="22"/>
              <w:lang w:val="id-ID"/>
            </w:rPr>
            <w:fldChar w:fldCharType="end"/>
          </w:r>
        </w:sdtContent>
      </w:sdt>
      <w:r w:rsidRPr="007B2105">
        <w:rPr>
          <w:rFonts w:eastAsia="Times New Roman" w:cs="Times New Roman"/>
          <w:bCs/>
          <w:sz w:val="22"/>
          <w:lang w:val="en-ID"/>
        </w:rPr>
        <w:t xml:space="preserve">. HOR </w:t>
      </w:r>
      <w:proofErr w:type="gramStart"/>
      <w:r w:rsidRPr="007B2105">
        <w:rPr>
          <w:rFonts w:eastAsia="Times New Roman" w:cs="Times New Roman"/>
          <w:bCs/>
          <w:sz w:val="22"/>
          <w:lang w:val="en-ID"/>
        </w:rPr>
        <w:t>akan</w:t>
      </w:r>
      <w:proofErr w:type="gramEnd"/>
      <w:r w:rsidRPr="007B2105">
        <w:rPr>
          <w:rFonts w:eastAsia="Times New Roman" w:cs="Times New Roman"/>
          <w:bCs/>
          <w:sz w:val="22"/>
          <w:lang w:val="en-ID"/>
        </w:rPr>
        <w:t xml:space="preserve"> diintegrasikan </w:t>
      </w:r>
      <w:r w:rsidRPr="007B2105">
        <w:rPr>
          <w:rFonts w:eastAsia="Times New Roman" w:cs="Times New Roman"/>
          <w:bCs/>
          <w:i/>
          <w:sz w:val="22"/>
          <w:lang w:val="en-AU"/>
        </w:rPr>
        <w:t xml:space="preserve">Analytical Hierarchy Process </w:t>
      </w:r>
      <w:r w:rsidRPr="007B2105">
        <w:rPr>
          <w:rFonts w:eastAsia="Times New Roman" w:cs="Times New Roman"/>
          <w:bCs/>
          <w:sz w:val="22"/>
          <w:lang w:val="en-AU"/>
        </w:rPr>
        <w:t xml:space="preserve">(AHP) yang dapat membantu memberikan proporsi berbeda pada masing-masing kriteria maupun kejadian risiko </w:t>
      </w:r>
      <w:sdt>
        <w:sdtPr>
          <w:rPr>
            <w:rFonts w:eastAsia="Times New Roman" w:cs="Times New Roman"/>
            <w:bCs/>
            <w:sz w:val="22"/>
            <w:lang w:val="en-AU"/>
          </w:rPr>
          <w:id w:val="1970241543"/>
          <w:citation/>
        </w:sdtPr>
        <w:sdtContent>
          <w:r w:rsidRPr="007B2105">
            <w:rPr>
              <w:rFonts w:eastAsia="Times New Roman" w:cs="Times New Roman"/>
              <w:bCs/>
              <w:sz w:val="22"/>
              <w:lang w:val="en-AU"/>
            </w:rPr>
            <w:fldChar w:fldCharType="begin"/>
          </w:r>
          <w:r w:rsidRPr="007B2105">
            <w:rPr>
              <w:rFonts w:eastAsia="Times New Roman" w:cs="Times New Roman"/>
              <w:bCs/>
              <w:sz w:val="22"/>
              <w:lang w:val="en-AU"/>
            </w:rPr>
            <w:instrText xml:space="preserve">CITATION BGa06 \l 1033 </w:instrText>
          </w:r>
          <w:r w:rsidRPr="007B2105">
            <w:rPr>
              <w:rFonts w:eastAsia="Times New Roman" w:cs="Times New Roman"/>
              <w:bCs/>
              <w:sz w:val="22"/>
              <w:lang w:val="en-AU"/>
            </w:rPr>
            <w:fldChar w:fldCharType="separate"/>
          </w:r>
          <w:r w:rsidRPr="007B2105">
            <w:rPr>
              <w:rFonts w:eastAsia="Times New Roman" w:cs="Times New Roman"/>
              <w:sz w:val="22"/>
              <w:lang w:val="en-AU"/>
            </w:rPr>
            <w:t>(Gaudenzi, 2006)</w:t>
          </w:r>
          <w:r w:rsidRPr="007B2105">
            <w:rPr>
              <w:rFonts w:eastAsia="Times New Roman" w:cs="Times New Roman"/>
              <w:sz w:val="22"/>
              <w:lang w:val="id-ID"/>
            </w:rPr>
            <w:fldChar w:fldCharType="end"/>
          </w:r>
        </w:sdtContent>
      </w:sdt>
      <w:r w:rsidRPr="007B2105">
        <w:rPr>
          <w:rFonts w:eastAsia="Times New Roman" w:cs="Times New Roman"/>
          <w:bCs/>
          <w:sz w:val="22"/>
          <w:lang w:val="en-AU"/>
        </w:rPr>
        <w:t xml:space="preserve"> dan adanya penambahan </w:t>
      </w:r>
      <w:r w:rsidRPr="007B2105">
        <w:rPr>
          <w:rFonts w:eastAsia="Times New Roman" w:cs="Times New Roman"/>
          <w:bCs/>
          <w:i/>
          <w:sz w:val="22"/>
          <w:lang w:val="en-AU"/>
        </w:rPr>
        <w:t xml:space="preserve">top roof </w:t>
      </w:r>
      <w:r w:rsidRPr="007B2105">
        <w:rPr>
          <w:rFonts w:eastAsia="Times New Roman" w:cs="Times New Roman"/>
          <w:bCs/>
          <w:sz w:val="22"/>
          <w:lang w:val="en-AU"/>
        </w:rPr>
        <w:t xml:space="preserve">(atap atas) dan </w:t>
      </w:r>
      <w:r w:rsidRPr="007B2105">
        <w:rPr>
          <w:rFonts w:eastAsia="Times New Roman" w:cs="Times New Roman"/>
          <w:bCs/>
          <w:i/>
          <w:sz w:val="22"/>
          <w:lang w:val="en-AU"/>
        </w:rPr>
        <w:t xml:space="preserve">side roof </w:t>
      </w:r>
      <w:r w:rsidRPr="007B2105">
        <w:rPr>
          <w:rFonts w:eastAsia="Times New Roman" w:cs="Times New Roman"/>
          <w:bCs/>
          <w:sz w:val="22"/>
          <w:lang w:val="en-AU"/>
        </w:rPr>
        <w:t xml:space="preserve">(atap samping) untuk membantu memberikan korelasi yang dibutuhkan </w:t>
      </w:r>
      <w:sdt>
        <w:sdtPr>
          <w:rPr>
            <w:rFonts w:eastAsia="Times New Roman" w:cs="Times New Roman"/>
            <w:bCs/>
            <w:sz w:val="22"/>
            <w:lang w:val="en-AU"/>
          </w:rPr>
          <w:id w:val="853535358"/>
          <w:citation/>
        </w:sdtPr>
        <w:sdtContent>
          <w:r w:rsidRPr="007B2105">
            <w:rPr>
              <w:rFonts w:eastAsia="Times New Roman" w:cs="Times New Roman"/>
              <w:bCs/>
              <w:sz w:val="22"/>
              <w:lang w:val="en-AU"/>
            </w:rPr>
            <w:fldChar w:fldCharType="begin"/>
          </w:r>
          <w:r w:rsidRPr="007B2105">
            <w:rPr>
              <w:rFonts w:eastAsia="Times New Roman" w:cs="Times New Roman"/>
              <w:bCs/>
              <w:sz w:val="22"/>
              <w:lang w:val="en-AU"/>
            </w:rPr>
            <w:instrText xml:space="preserve">CITATION ASh04 \l 1033 </w:instrText>
          </w:r>
          <w:r w:rsidRPr="007B2105">
            <w:rPr>
              <w:rFonts w:eastAsia="Times New Roman" w:cs="Times New Roman"/>
              <w:bCs/>
              <w:sz w:val="22"/>
              <w:lang w:val="en-AU"/>
            </w:rPr>
            <w:fldChar w:fldCharType="separate"/>
          </w:r>
          <w:r w:rsidRPr="007B2105">
            <w:rPr>
              <w:rFonts w:eastAsia="Times New Roman" w:cs="Times New Roman"/>
              <w:sz w:val="22"/>
              <w:lang w:val="en-AU"/>
            </w:rPr>
            <w:t>(Shahin, 2004)</w:t>
          </w:r>
          <w:r w:rsidRPr="007B2105">
            <w:rPr>
              <w:rFonts w:eastAsia="Times New Roman" w:cs="Times New Roman"/>
              <w:sz w:val="22"/>
              <w:lang w:val="id-ID"/>
            </w:rPr>
            <w:fldChar w:fldCharType="end"/>
          </w:r>
        </w:sdtContent>
      </w:sdt>
      <w:r w:rsidRPr="007B2105">
        <w:rPr>
          <w:rFonts w:eastAsia="Times New Roman" w:cs="Times New Roman"/>
          <w:bCs/>
          <w:sz w:val="22"/>
          <w:lang w:val="en-AU"/>
        </w:rPr>
        <w:t>.</w:t>
      </w:r>
    </w:p>
    <w:p w14:paraId="7D851506" w14:textId="77777777" w:rsidR="00085E28" w:rsidRPr="002D22A2" w:rsidRDefault="00FF7F88" w:rsidP="00E47CFB">
      <w:pPr>
        <w:spacing w:line="240" w:lineRule="auto"/>
        <w:contextualSpacing/>
        <w:jc w:val="both"/>
        <w:rPr>
          <w:rFonts w:eastAsia="Calibri" w:cs="Times New Roman"/>
          <w:b/>
          <w:sz w:val="22"/>
          <w:lang w:val="id-ID"/>
        </w:rPr>
      </w:pPr>
      <w:r w:rsidRPr="002D22A2">
        <w:rPr>
          <w:rFonts w:eastAsia="Calibri" w:cs="Times New Roman"/>
          <w:b/>
          <w:sz w:val="22"/>
          <w:lang w:val="id-ID"/>
        </w:rPr>
        <w:t xml:space="preserve">2. </w:t>
      </w:r>
      <w:r w:rsidR="00085E28" w:rsidRPr="002D22A2">
        <w:rPr>
          <w:rFonts w:eastAsia="Calibri" w:cs="Times New Roman"/>
          <w:b/>
          <w:sz w:val="22"/>
          <w:lang w:val="id-ID"/>
        </w:rPr>
        <w:t>LANDASAN TEORI</w:t>
      </w:r>
    </w:p>
    <w:p w14:paraId="4C177864" w14:textId="77777777" w:rsidR="00936CA3" w:rsidRPr="00936CA3" w:rsidRDefault="00936CA3" w:rsidP="00936CA3">
      <w:pPr>
        <w:numPr>
          <w:ilvl w:val="1"/>
          <w:numId w:val="4"/>
        </w:numPr>
        <w:spacing w:line="240" w:lineRule="auto"/>
        <w:jc w:val="both"/>
        <w:rPr>
          <w:rFonts w:eastAsia="Calibri" w:cs="Times New Roman"/>
          <w:b/>
          <w:i/>
          <w:sz w:val="22"/>
        </w:rPr>
      </w:pPr>
      <w:r w:rsidRPr="00936CA3">
        <w:rPr>
          <w:rFonts w:eastAsia="Calibri" w:cs="Times New Roman"/>
          <w:b/>
          <w:sz w:val="22"/>
        </w:rPr>
        <w:t>Manajemen Rantai Pasok</w:t>
      </w:r>
    </w:p>
    <w:p w14:paraId="3B726DA5" w14:textId="57501B40" w:rsidR="00936CA3" w:rsidRPr="00936CA3" w:rsidRDefault="00936CA3" w:rsidP="00936CA3">
      <w:pPr>
        <w:spacing w:line="240" w:lineRule="auto"/>
        <w:ind w:firstLine="720"/>
        <w:jc w:val="both"/>
        <w:rPr>
          <w:rFonts w:eastAsia="Calibri" w:cs="Times New Roman"/>
          <w:iCs/>
          <w:sz w:val="22"/>
          <w:lang w:val="en-ID"/>
        </w:rPr>
      </w:pPr>
      <w:r w:rsidRPr="00936CA3">
        <w:rPr>
          <w:rFonts w:eastAsia="Calibri" w:cs="Times New Roman"/>
          <w:i/>
          <w:iCs/>
          <w:sz w:val="22"/>
          <w:lang w:val="en-ID"/>
        </w:rPr>
        <w:t xml:space="preserve">Supply Chain </w:t>
      </w:r>
      <w:r w:rsidRPr="00936CA3">
        <w:rPr>
          <w:rFonts w:eastAsia="Calibri" w:cs="Times New Roman"/>
          <w:sz w:val="22"/>
          <w:lang w:val="en-ID"/>
        </w:rPr>
        <w:t xml:space="preserve">(SC) pertama kali dikemukakan oleh Oliver dan Weber pada tahun 1982 (Oliver dan Weber, 1982; Lambert et al.,). Badan Manajemen Logistik Internasional memberikan definisi SC sebagai koordinasi stratejik dan tersistematis antar perusahaan-perusahaan yang terlibat dalam memasok bahan baku, memproduksi barang-barang, dan mengirimkan sampai pada konsumen akhir, Lee dan Wang (2000) mendefinisikan SC sebagai suatu sistem jaringan yang terdiri atas beberapa perusahaan yang memiliki tujuan yang sama sebagai tempat organisasi menjalankan barang </w:t>
      </w:r>
      <w:r w:rsidRPr="00936CA3">
        <w:rPr>
          <w:rFonts w:eastAsia="Calibri" w:cs="Times New Roman"/>
          <w:sz w:val="22"/>
          <w:lang w:val="en-ID"/>
        </w:rPr>
        <w:t xml:space="preserve">dan jasa kepada pelanggan. </w:t>
      </w:r>
      <w:r w:rsidRPr="00936CA3">
        <w:rPr>
          <w:rFonts w:eastAsia="Calibri" w:cs="Times New Roman"/>
          <w:iCs/>
          <w:sz w:val="22"/>
          <w:lang w:val="en-ID"/>
        </w:rPr>
        <w:t xml:space="preserve">Lee dan Whang (2000) mendefinisikan pula manajemen rantai pasok (SCM) sebagai integrasi proses bisnis dari pengguna akhir melalui pasokan yang memberikan produk, jasa, informasi, dan bahkan peningkatan nilai untuk konsumen dan karyawan. Melalui </w:t>
      </w:r>
      <w:r w:rsidRPr="00936CA3">
        <w:rPr>
          <w:rFonts w:eastAsia="Calibri" w:cs="Times New Roman"/>
          <w:i/>
          <w:iCs/>
          <w:sz w:val="22"/>
          <w:lang w:val="en-ID"/>
        </w:rPr>
        <w:t>Supply Chain</w:t>
      </w:r>
      <w:r w:rsidRPr="00936CA3">
        <w:rPr>
          <w:rFonts w:eastAsia="Calibri" w:cs="Times New Roman"/>
          <w:iCs/>
          <w:sz w:val="22"/>
          <w:lang w:val="en-ID"/>
        </w:rPr>
        <w:t>, perusahaan dapat membangun kerjasama melalui penciptaan jaringan kerja (</w:t>
      </w:r>
      <w:r w:rsidRPr="00936CA3">
        <w:rPr>
          <w:rFonts w:eastAsia="Calibri" w:cs="Times New Roman"/>
          <w:i/>
          <w:iCs/>
          <w:sz w:val="22"/>
          <w:lang w:val="en-ID"/>
        </w:rPr>
        <w:t>network</w:t>
      </w:r>
      <w:r w:rsidRPr="00936CA3">
        <w:rPr>
          <w:rFonts w:eastAsia="Calibri" w:cs="Times New Roman"/>
          <w:iCs/>
          <w:sz w:val="22"/>
          <w:lang w:val="en-ID"/>
        </w:rPr>
        <w:t xml:space="preserve">) yang terkoordinasi dalam penyediaan barang maupun jasa bagi konsumen secara efisien. Salah satu hal terpenting dalam </w:t>
      </w:r>
      <w:r w:rsidRPr="00936CA3">
        <w:rPr>
          <w:rFonts w:eastAsia="Calibri" w:cs="Times New Roman"/>
          <w:i/>
          <w:iCs/>
          <w:sz w:val="22"/>
          <w:lang w:val="en-ID"/>
        </w:rPr>
        <w:t>Supply Chain</w:t>
      </w:r>
      <w:r w:rsidRPr="00936CA3">
        <w:rPr>
          <w:rFonts w:eastAsia="Calibri" w:cs="Times New Roman"/>
          <w:iCs/>
          <w:sz w:val="22"/>
          <w:lang w:val="en-ID"/>
        </w:rPr>
        <w:t xml:space="preserve"> adalah saling berbagi informasi, oleh karena itu dalam aliran material, aliran kas, dan aliran informasi merupakan keseluruhan elemen dalam rantai pasokan yang perlu diintegrasikan (Chen et al.</w:t>
      </w:r>
      <w:r w:rsidR="005415B3" w:rsidRPr="00936CA3">
        <w:rPr>
          <w:rFonts w:eastAsia="Calibri" w:cs="Times New Roman"/>
          <w:iCs/>
          <w:sz w:val="22"/>
          <w:lang w:val="en-ID"/>
        </w:rPr>
        <w:t>, 2004</w:t>
      </w:r>
      <w:r w:rsidRPr="00936CA3">
        <w:rPr>
          <w:rFonts w:eastAsia="Calibri" w:cs="Times New Roman"/>
          <w:iCs/>
          <w:sz w:val="22"/>
          <w:lang w:val="en-ID"/>
        </w:rPr>
        <w:t>).</w:t>
      </w:r>
    </w:p>
    <w:p w14:paraId="1FD5C906" w14:textId="77777777" w:rsidR="00936CA3" w:rsidRPr="00936CA3" w:rsidRDefault="00936CA3" w:rsidP="00936CA3">
      <w:pPr>
        <w:numPr>
          <w:ilvl w:val="2"/>
          <w:numId w:val="4"/>
        </w:numPr>
        <w:spacing w:line="240" w:lineRule="auto"/>
        <w:jc w:val="both"/>
        <w:rPr>
          <w:rFonts w:eastAsia="Calibri" w:cs="Times New Roman"/>
          <w:b/>
          <w:i/>
          <w:sz w:val="22"/>
        </w:rPr>
      </w:pPr>
      <w:r w:rsidRPr="00936CA3">
        <w:rPr>
          <w:rFonts w:eastAsia="Calibri" w:cs="Times New Roman"/>
          <w:b/>
          <w:sz w:val="22"/>
        </w:rPr>
        <w:t>Manajemen Risiko Rantai Pasok</w:t>
      </w:r>
    </w:p>
    <w:p w14:paraId="678DA938" w14:textId="77777777" w:rsidR="00936CA3" w:rsidRPr="00936CA3" w:rsidRDefault="00936CA3" w:rsidP="00936CA3">
      <w:pPr>
        <w:spacing w:line="240" w:lineRule="auto"/>
        <w:ind w:firstLine="720"/>
        <w:jc w:val="both"/>
        <w:rPr>
          <w:rFonts w:eastAsia="Calibri" w:cs="Times New Roman"/>
          <w:sz w:val="22"/>
          <w:lang w:val="en-ID"/>
        </w:rPr>
      </w:pPr>
      <w:r w:rsidRPr="00936CA3">
        <w:rPr>
          <w:rFonts w:eastAsia="Calibri" w:cs="Times New Roman"/>
          <w:sz w:val="22"/>
          <w:lang w:val="en-ID"/>
        </w:rPr>
        <w:t xml:space="preserve">Banyak perusahaan sudah mengkaji bahwa disamping risiko tradisional yang muncul dalam aktivitas bisnisnya, ada risiko baru yang bersumber dari kolaborasi yang ketat dalam jaringan rantai pasok (Giunipero dan Eltantawy, 2004). Sebuah kajian empiris oleh March dan Shapira (1987) menunjukkan bahwa risiko didefinisikan sebagai hasil dari kejadian negatif yang mempunyai kemungkinan terjadi dan menghasilkan sejumlah kerusakan. Berkaitan dengan jaringan rantai pasok dan berdasarkan pada definisi umum dari March dan Shapira (1987), risiko rantai pasok dapat didefinisikan sebagai kerusakan yang disebabkan oleh kejadian dalam rantai pasok atau lingkungannya yang menimbulkan pengaruh negatif terhadap proses bisnis rantai pasok pada lebih dari satu perusahaan (Kersten </w:t>
      </w:r>
      <w:r w:rsidRPr="00936CA3">
        <w:rPr>
          <w:rFonts w:eastAsia="Calibri" w:cs="Times New Roman"/>
          <w:i/>
          <w:iCs/>
          <w:sz w:val="22"/>
          <w:lang w:val="en-ID"/>
        </w:rPr>
        <w:t>et al</w:t>
      </w:r>
      <w:r w:rsidRPr="00936CA3">
        <w:rPr>
          <w:rFonts w:eastAsia="Calibri" w:cs="Times New Roman"/>
          <w:sz w:val="22"/>
          <w:lang w:val="en-ID"/>
        </w:rPr>
        <w:t>. 2006).</w:t>
      </w:r>
    </w:p>
    <w:p w14:paraId="40A1C979" w14:textId="77777777" w:rsidR="00936CA3" w:rsidRPr="00936CA3" w:rsidRDefault="00936CA3" w:rsidP="00936CA3">
      <w:pPr>
        <w:spacing w:line="240" w:lineRule="auto"/>
        <w:ind w:firstLine="720"/>
        <w:jc w:val="both"/>
        <w:rPr>
          <w:rFonts w:eastAsia="Calibri" w:cs="Times New Roman"/>
          <w:sz w:val="22"/>
          <w:lang w:val="en-ID"/>
        </w:rPr>
      </w:pPr>
      <w:r w:rsidRPr="00936CA3">
        <w:rPr>
          <w:rFonts w:eastAsia="Calibri" w:cs="Times New Roman"/>
          <w:sz w:val="22"/>
          <w:lang w:val="en-ID"/>
        </w:rPr>
        <w:t xml:space="preserve">Setiap gangguan yang terjadi dalam salah satu pemain rantai pasok dapat mempengaruhi jaringan rantai pasok secara keseluruhan, seperti berhentinya arus informasi dan sumber daya dari hulu ke hilir dalam rantai pasok. Hal ini dapat menyebabkan ketidakseimbangan antara pasokan dan permintaan. Oleh karena itu, risiko dalam rantai pasok dapat didefinisikan sebagai terganggunya arus informasi dan sumber daya dalam jaringan rantai pasok karena adanya penghentian dan variasi yang tidak pasti (Juttner </w:t>
      </w:r>
      <w:r w:rsidRPr="00936CA3">
        <w:rPr>
          <w:rFonts w:eastAsia="Calibri" w:cs="Times New Roman"/>
          <w:i/>
          <w:iCs/>
          <w:sz w:val="22"/>
          <w:lang w:val="en-ID"/>
        </w:rPr>
        <w:t>et al</w:t>
      </w:r>
      <w:r w:rsidRPr="00936CA3">
        <w:rPr>
          <w:rFonts w:eastAsia="Calibri" w:cs="Times New Roman"/>
          <w:sz w:val="22"/>
          <w:lang w:val="en-ID"/>
        </w:rPr>
        <w:t xml:space="preserve">. 2003).  </w:t>
      </w:r>
    </w:p>
    <w:p w14:paraId="19BAF1AA" w14:textId="48DB27EE" w:rsidR="00936CA3" w:rsidRPr="00936CA3" w:rsidRDefault="00936CA3" w:rsidP="00936CA3">
      <w:pPr>
        <w:spacing w:line="240" w:lineRule="auto"/>
        <w:ind w:firstLine="720"/>
        <w:jc w:val="both"/>
        <w:rPr>
          <w:rFonts w:eastAsia="Calibri" w:cs="Times New Roman"/>
          <w:sz w:val="22"/>
          <w:lang w:val="en-ID"/>
        </w:rPr>
      </w:pPr>
      <w:r w:rsidRPr="00936CA3">
        <w:rPr>
          <w:rFonts w:eastAsia="Calibri" w:cs="Times New Roman"/>
          <w:sz w:val="22"/>
          <w:lang w:val="en-ID"/>
        </w:rPr>
        <w:t xml:space="preserve">Manajemen risiko rantai pasok oleh Chapman </w:t>
      </w:r>
      <w:r w:rsidRPr="00936CA3">
        <w:rPr>
          <w:rFonts w:eastAsia="Calibri" w:cs="Times New Roman"/>
          <w:i/>
          <w:iCs/>
          <w:sz w:val="22"/>
          <w:lang w:val="en-ID"/>
        </w:rPr>
        <w:t>et al</w:t>
      </w:r>
      <w:r w:rsidRPr="00936CA3">
        <w:rPr>
          <w:rFonts w:eastAsia="Calibri" w:cs="Times New Roman"/>
          <w:sz w:val="22"/>
          <w:lang w:val="en-ID"/>
        </w:rPr>
        <w:t xml:space="preserve"> (2002) didefinisikan sebagai identifikasi dan manajemen risiko dalam rantai pasok dan risiko eksternalnya melalui pendekatan koordinasi diantara anggota rantai pasok untuk </w:t>
      </w:r>
      <w:r w:rsidRPr="00936CA3">
        <w:rPr>
          <w:rFonts w:eastAsia="Calibri" w:cs="Times New Roman"/>
          <w:sz w:val="22"/>
          <w:lang w:val="en-ID"/>
        </w:rPr>
        <w:lastRenderedPageBreak/>
        <w:t xml:space="preserve">mengurangi terganggunya rantai pasok secara keseluruhan. Manajemen risiko rantai pasok berfokus pada bagaimana memahami dan menanggulangi pengaruh berantai ketika suatu kecelakaan yang besar atau kecil terjadi pada suatu titik dalam jaringan pasokan. Selanjutnya, hal yang paling penting adalah memastikan bahwa ketika gangguan terjadi, perusahaan mempunyai kemampuan untuk kembali kepada keadaan normal dan melanjutkan bisnisnya. Secara umum, proses manajemen risiko rantai pasok terdiri dari identifikasi risiko, analisis risiko, evaluasi risiko dan mitigasi risiko. Identifikasi risiko disarankan sebagai tahapan fundamental dalam proses manajemen risiko (Hallikas </w:t>
      </w:r>
      <w:r w:rsidRPr="00936CA3">
        <w:rPr>
          <w:rFonts w:eastAsia="Calibri" w:cs="Times New Roman"/>
          <w:i/>
          <w:iCs/>
          <w:sz w:val="22"/>
          <w:lang w:val="en-ID"/>
        </w:rPr>
        <w:t>et al</w:t>
      </w:r>
      <w:r w:rsidRPr="00936CA3">
        <w:rPr>
          <w:rFonts w:eastAsia="Calibri" w:cs="Times New Roman"/>
          <w:sz w:val="22"/>
          <w:lang w:val="en-ID"/>
        </w:rPr>
        <w:t xml:space="preserve">. 2004; Norman &amp; Lindroth 2004). Kebanyakan risiko potensial, tidak hanya dalam organisasi, tetapi juga antara anggota jaringan pasokan serta antar jaringan pasokan dan lingkungannya harus diidentifikasi. Risiko yang tidak teridentifikasi dapat menyebabkan kesalahan arah dalam proses manajemen risiko rantai pasok (seperti: pembuatan rencana mitigasi risiko), menimbulkan tidak tepatnya atau tidak sesuainya strategi untuk mengendalikan risiko-risiko ini dan hal ini dapat menyebabkan kerugian yang lebih besar. </w:t>
      </w:r>
    </w:p>
    <w:p w14:paraId="5995DE28" w14:textId="77777777" w:rsidR="00936CA3" w:rsidRPr="00936CA3" w:rsidRDefault="00936CA3" w:rsidP="00936CA3">
      <w:pPr>
        <w:spacing w:line="240" w:lineRule="auto"/>
        <w:ind w:firstLine="720"/>
        <w:jc w:val="both"/>
        <w:rPr>
          <w:rFonts w:eastAsia="Calibri" w:cs="Times New Roman"/>
          <w:sz w:val="22"/>
          <w:lang w:val="en-ID"/>
        </w:rPr>
      </w:pPr>
      <w:r w:rsidRPr="00936CA3">
        <w:rPr>
          <w:rFonts w:eastAsia="Calibri" w:cs="Times New Roman"/>
          <w:sz w:val="22"/>
          <w:lang w:val="en-ID"/>
        </w:rPr>
        <w:t>Dalam FMEA, penilaian risiko dapat diperhitungkan melalui perhitungan RPN (</w:t>
      </w:r>
      <w:r w:rsidRPr="00936CA3">
        <w:rPr>
          <w:rFonts w:eastAsia="Calibri" w:cs="Times New Roman"/>
          <w:i/>
          <w:iCs/>
          <w:sz w:val="22"/>
          <w:lang w:val="en-ID"/>
        </w:rPr>
        <w:t>Risk Potential Number</w:t>
      </w:r>
      <w:r w:rsidRPr="00936CA3">
        <w:rPr>
          <w:rFonts w:eastAsia="Calibri" w:cs="Times New Roman"/>
          <w:sz w:val="22"/>
          <w:lang w:val="en-ID"/>
        </w:rPr>
        <w:t xml:space="preserve">) yang diperoleh dari perkalian tiga faktor yaitu probabilitas terjadinya risiko, dampak kerusakan yang dihasilkan, dan deteksi risiko. Namun dalam pendekatan </w:t>
      </w:r>
      <w:r w:rsidRPr="00936CA3">
        <w:rPr>
          <w:rFonts w:eastAsia="Calibri" w:cs="Times New Roman"/>
          <w:i/>
          <w:iCs/>
          <w:sz w:val="22"/>
          <w:lang w:val="en-ID"/>
        </w:rPr>
        <w:t>house of risk</w:t>
      </w:r>
      <w:r w:rsidRPr="00936CA3">
        <w:rPr>
          <w:rFonts w:eastAsia="Calibri" w:cs="Times New Roman"/>
          <w:sz w:val="22"/>
          <w:lang w:val="en-ID"/>
        </w:rPr>
        <w:t xml:space="preserve"> perhitungan nilai RPN diperoleh dari probabilitas sumber risiko dan dampak kerusakan terkait risiko itu terjadi. Dalam hal ini untuk mencari kemungkinan sumber risiko dan keparahan kejadian risiko. Jika O</w:t>
      </w:r>
      <w:r w:rsidRPr="00936CA3">
        <w:rPr>
          <w:rFonts w:eastAsia="Calibri" w:cs="Times New Roman"/>
          <w:sz w:val="22"/>
          <w:vertAlign w:val="subscript"/>
          <w:lang w:val="en-ID"/>
        </w:rPr>
        <w:t>i</w:t>
      </w:r>
      <w:r w:rsidRPr="00936CA3">
        <w:rPr>
          <w:rFonts w:eastAsia="Calibri" w:cs="Times New Roman"/>
          <w:sz w:val="22"/>
          <w:lang w:val="en-ID"/>
        </w:rPr>
        <w:t xml:space="preserve"> adalah kemungkinan dari kejadian sumber risiko j, Si adalah keparahan dari pengaruh jika kejadian risiko i, dan </w:t>
      </w:r>
      <w:proofErr w:type="gramStart"/>
      <w:r w:rsidRPr="00936CA3">
        <w:rPr>
          <w:rFonts w:eastAsia="Calibri" w:cs="Times New Roman"/>
          <w:sz w:val="22"/>
          <w:lang w:val="en-ID"/>
        </w:rPr>
        <w:t>Rj</w:t>
      </w:r>
      <w:proofErr w:type="gramEnd"/>
      <w:r w:rsidRPr="00936CA3">
        <w:rPr>
          <w:rFonts w:eastAsia="Calibri" w:cs="Times New Roman"/>
          <w:sz w:val="22"/>
          <w:lang w:val="en-ID"/>
        </w:rPr>
        <w:t xml:space="preserve"> adalah korelasi antara sumber risiko ke j dan kejadian risiko ke i (dimana menunjukkan seberapa kemungkinan besar sumber risiko j yang masuk kejadian risiko i) kemudian ARPj (</w:t>
      </w:r>
      <w:r w:rsidRPr="00936CA3">
        <w:rPr>
          <w:rFonts w:eastAsia="Calibri" w:cs="Times New Roman"/>
          <w:i/>
          <w:iCs/>
          <w:sz w:val="22"/>
          <w:lang w:val="en-ID"/>
        </w:rPr>
        <w:t>Aggregate Risk Potential of risk agent j</w:t>
      </w:r>
      <w:r w:rsidRPr="00936CA3">
        <w:rPr>
          <w:rFonts w:eastAsia="Calibri" w:cs="Times New Roman"/>
          <w:sz w:val="22"/>
          <w:lang w:val="en-ID"/>
        </w:rPr>
        <w:t>) dapat dihitung dengan rumus:</w:t>
      </w:r>
    </w:p>
    <w:p w14:paraId="65787CF2" w14:textId="77777777" w:rsidR="00936CA3" w:rsidRPr="00936CA3" w:rsidRDefault="00936CA3" w:rsidP="00936CA3">
      <w:pPr>
        <w:spacing w:line="240" w:lineRule="auto"/>
        <w:ind w:firstLine="720"/>
        <w:jc w:val="both"/>
        <w:rPr>
          <w:rFonts w:eastAsia="Calibri" w:cs="Times New Roman"/>
          <w:sz w:val="22"/>
          <w:lang w:val="en-ID"/>
        </w:rPr>
      </w:pPr>
      <w:r w:rsidRPr="00936CA3">
        <w:rPr>
          <w:rFonts w:eastAsia="Calibri" w:cs="Times New Roman"/>
          <w:i/>
          <w:sz w:val="22"/>
          <w:lang w:val="en-ID"/>
        </w:rPr>
        <w:t>ARP</w:t>
      </w:r>
      <w:r w:rsidRPr="00936CA3">
        <w:rPr>
          <w:rFonts w:eastAsia="Calibri" w:cs="Times New Roman"/>
          <w:i/>
          <w:sz w:val="22"/>
          <w:vertAlign w:val="subscript"/>
          <w:lang w:val="en-ID"/>
        </w:rPr>
        <w:t>j</w:t>
      </w:r>
      <w:r w:rsidRPr="00936CA3">
        <w:rPr>
          <w:rFonts w:eastAsia="Calibri" w:cs="Times New Roman"/>
          <w:i/>
          <w:sz w:val="22"/>
          <w:lang w:val="en-ID"/>
        </w:rPr>
        <w:t xml:space="preserve"> </w:t>
      </w:r>
      <w:r w:rsidRPr="00936CA3">
        <w:rPr>
          <w:rFonts w:eastAsia="Calibri" w:cs="Times New Roman"/>
          <w:sz w:val="22"/>
          <w:lang w:val="en-ID"/>
        </w:rPr>
        <w:t xml:space="preserve">= </w:t>
      </w:r>
      <w:proofErr w:type="gramStart"/>
      <w:r w:rsidRPr="00936CA3">
        <w:rPr>
          <w:rFonts w:eastAsia="Calibri" w:cs="Times New Roman"/>
          <w:sz w:val="22"/>
          <w:lang w:val="en-ID"/>
        </w:rPr>
        <w:t>O</w:t>
      </w:r>
      <w:r w:rsidRPr="00936CA3">
        <w:rPr>
          <w:rFonts w:eastAsia="Calibri" w:cs="Times New Roman"/>
          <w:sz w:val="22"/>
          <w:vertAlign w:val="subscript"/>
          <w:lang w:val="en-ID"/>
        </w:rPr>
        <w:t>j</w:t>
      </w:r>
      <w:proofErr w:type="gramEnd"/>
      <w:r w:rsidRPr="00936CA3">
        <w:rPr>
          <w:rFonts w:eastAsia="Calibri" w:cs="Times New Roman"/>
          <w:sz w:val="22"/>
          <w:vertAlign w:val="superscript"/>
          <w:lang w:val="en-ID"/>
        </w:rPr>
        <w:t xml:space="preserve"> </w:t>
      </w:r>
      <w:r w:rsidRPr="00936CA3">
        <w:rPr>
          <w:rFonts w:eastAsia="Calibri" w:cs="Times New Roman"/>
          <w:sz w:val="22"/>
          <w:lang w:val="en-ID"/>
        </w:rPr>
        <w:t>∑ S</w:t>
      </w:r>
      <w:r w:rsidRPr="00936CA3">
        <w:rPr>
          <w:rFonts w:eastAsia="Calibri" w:cs="Times New Roman"/>
          <w:sz w:val="22"/>
          <w:vertAlign w:val="subscript"/>
          <w:lang w:val="en-ID"/>
        </w:rPr>
        <w:t>i</w:t>
      </w:r>
      <w:r w:rsidRPr="00936CA3">
        <w:rPr>
          <w:rFonts w:eastAsia="Calibri" w:cs="Times New Roman"/>
          <w:sz w:val="22"/>
          <w:lang w:val="en-ID"/>
        </w:rPr>
        <w:t xml:space="preserve"> R</w:t>
      </w:r>
      <w:r w:rsidRPr="00936CA3">
        <w:rPr>
          <w:rFonts w:eastAsia="Calibri" w:cs="Times New Roman"/>
          <w:sz w:val="22"/>
          <w:vertAlign w:val="subscript"/>
          <w:lang w:val="en-ID"/>
        </w:rPr>
        <w:t>j</w:t>
      </w:r>
      <w:r w:rsidRPr="00936CA3">
        <w:rPr>
          <w:rFonts w:eastAsia="Calibri" w:cs="Times New Roman"/>
          <w:sz w:val="22"/>
          <w:lang w:val="en-ID"/>
        </w:rPr>
        <w:t xml:space="preserve"> </w:t>
      </w:r>
    </w:p>
    <w:p w14:paraId="5A5E36A4" w14:textId="775BD411" w:rsidR="00936CA3" w:rsidRPr="00936CA3" w:rsidRDefault="00936CA3" w:rsidP="00936CA3">
      <w:pPr>
        <w:spacing w:line="240" w:lineRule="auto"/>
        <w:ind w:firstLine="720"/>
        <w:jc w:val="both"/>
        <w:rPr>
          <w:rFonts w:eastAsia="Calibri" w:cs="Times New Roman"/>
          <w:sz w:val="22"/>
          <w:lang w:val="en-ID"/>
        </w:rPr>
      </w:pPr>
      <w:r w:rsidRPr="00936CA3">
        <w:rPr>
          <w:rFonts w:eastAsia="Calibri" w:cs="Times New Roman"/>
          <w:sz w:val="22"/>
          <w:lang w:val="en-ID"/>
        </w:rPr>
        <w:t xml:space="preserve">Penyesuaian model HOQ untuk menentukan mana dari sumber risiko yang harus diprioritaskan untuk dilakukan tindakan pencegahan. Perankingan untuk masing-masing sumber risiko berdasarkan pada besarnya ARP. Karenanya jika ada banyak sumber risiko, </w:t>
      </w:r>
      <w:r w:rsidR="005415B3" w:rsidRPr="00936CA3">
        <w:rPr>
          <w:rFonts w:eastAsia="Calibri" w:cs="Times New Roman"/>
          <w:sz w:val="22"/>
          <w:lang w:val="en-ID"/>
        </w:rPr>
        <w:t>perusahaan dapat</w:t>
      </w:r>
      <w:r w:rsidRPr="00936CA3">
        <w:rPr>
          <w:rFonts w:eastAsia="Calibri" w:cs="Times New Roman"/>
          <w:sz w:val="22"/>
          <w:lang w:val="en-ID"/>
        </w:rPr>
        <w:t xml:space="preserve"> memilih prioritas utama dari beberapa pertimbangan yang mempunyai potensi risiko besar. Dalam penelitian ini mengusulkan dua model penyebaran yang disebut HOR yang keduanya berdasarkan pada HOQ yang dimodifikasi. HOR 1 digunakan untuk menentukan sumber risiko mana yang diprioritaskan untuk dilakukan tindakan pencegahan sedangkan HOR 2 adalah untuk memberikan prioritas tindakan dengan mempertimbangkan sumber daya biaya yang efektif.</w:t>
      </w:r>
    </w:p>
    <w:p w14:paraId="6B630C8A" w14:textId="77777777" w:rsidR="00936CA3" w:rsidRPr="00936CA3" w:rsidRDefault="00936CA3" w:rsidP="00936CA3">
      <w:pPr>
        <w:numPr>
          <w:ilvl w:val="1"/>
          <w:numId w:val="4"/>
        </w:numPr>
        <w:spacing w:line="240" w:lineRule="auto"/>
        <w:jc w:val="both"/>
        <w:rPr>
          <w:rFonts w:eastAsia="Calibri" w:cs="Times New Roman"/>
          <w:b/>
          <w:sz w:val="22"/>
          <w:lang w:val="en-ID"/>
        </w:rPr>
      </w:pPr>
      <w:r w:rsidRPr="00936CA3">
        <w:rPr>
          <w:rFonts w:eastAsia="Calibri" w:cs="Times New Roman"/>
          <w:b/>
          <w:sz w:val="22"/>
          <w:lang w:val="en-ID"/>
        </w:rPr>
        <w:t>Analytical Hierarchy Process (AHP)</w:t>
      </w:r>
    </w:p>
    <w:p w14:paraId="51E4F79A" w14:textId="163E5654" w:rsidR="00936CA3" w:rsidRPr="00936CA3" w:rsidRDefault="00936CA3" w:rsidP="00D20A89">
      <w:pPr>
        <w:spacing w:line="240" w:lineRule="auto"/>
        <w:ind w:firstLine="720"/>
        <w:jc w:val="both"/>
        <w:rPr>
          <w:rFonts w:eastAsia="Calibri" w:cs="Times New Roman"/>
          <w:sz w:val="22"/>
          <w:lang w:val="en-ID"/>
        </w:rPr>
      </w:pPr>
      <w:r w:rsidRPr="00936CA3">
        <w:rPr>
          <w:rFonts w:eastAsia="Calibri" w:cs="Times New Roman"/>
          <w:i/>
          <w:iCs/>
          <w:sz w:val="22"/>
          <w:lang w:val="en-ID"/>
        </w:rPr>
        <w:t xml:space="preserve">Analytical Hierarchy Process </w:t>
      </w:r>
      <w:r w:rsidRPr="00936CA3">
        <w:rPr>
          <w:rFonts w:eastAsia="Calibri" w:cs="Times New Roman"/>
          <w:sz w:val="22"/>
          <w:lang w:val="en-ID"/>
        </w:rPr>
        <w:t xml:space="preserve">(AHP) adalah metode analisis yang dikembangkan </w:t>
      </w:r>
      <w:r w:rsidR="005415B3" w:rsidRPr="00936CA3">
        <w:rPr>
          <w:rFonts w:eastAsia="Calibri" w:cs="Times New Roman"/>
          <w:sz w:val="22"/>
          <w:lang w:val="en-ID"/>
        </w:rPr>
        <w:t xml:space="preserve">oleh </w:t>
      </w:r>
      <w:r w:rsidR="005415B3">
        <w:rPr>
          <w:rFonts w:eastAsia="Calibri" w:cs="Times New Roman"/>
          <w:sz w:val="22"/>
          <w:lang w:val="en-ID"/>
        </w:rPr>
        <w:t>Thomas</w:t>
      </w:r>
      <w:r w:rsidRPr="00936CA3">
        <w:rPr>
          <w:rFonts w:eastAsia="Calibri" w:cs="Times New Roman"/>
          <w:sz w:val="22"/>
          <w:lang w:val="en-ID"/>
        </w:rPr>
        <w:t xml:space="preserve"> L. Saaty dari </w:t>
      </w:r>
      <w:r w:rsidRPr="00936CA3">
        <w:rPr>
          <w:rFonts w:eastAsia="Calibri" w:cs="Times New Roman"/>
          <w:i/>
          <w:iCs/>
          <w:sz w:val="22"/>
          <w:lang w:val="en-ID"/>
        </w:rPr>
        <w:t xml:space="preserve">Wharton School of Bussiness </w:t>
      </w:r>
      <w:r w:rsidRPr="00936CA3">
        <w:rPr>
          <w:rFonts w:eastAsia="Calibri" w:cs="Times New Roman"/>
          <w:sz w:val="22"/>
          <w:lang w:val="en-ID"/>
        </w:rPr>
        <w:t xml:space="preserve">pada tahun 1970-an, beliau merupakan guru besar dari </w:t>
      </w:r>
      <w:r w:rsidRPr="00936CA3">
        <w:rPr>
          <w:rFonts w:eastAsia="Calibri" w:cs="Times New Roman"/>
          <w:i/>
          <w:iCs/>
          <w:sz w:val="22"/>
          <w:lang w:val="en-ID"/>
        </w:rPr>
        <w:t xml:space="preserve">University of Pittsburgh. </w:t>
      </w:r>
      <w:r w:rsidRPr="00936CA3">
        <w:rPr>
          <w:rFonts w:eastAsia="Calibri" w:cs="Times New Roman"/>
          <w:sz w:val="22"/>
          <w:lang w:val="en-ID"/>
        </w:rPr>
        <w:t>Prinsip AHP adalah penyederhanaan suatu persoalan yang kompleks, tidak terstruktur, stratejik, dan dinamik menjadi bagian-bagiannya, serta menata dalam bentuk hierarki. Tingkat kepentingan setiap variabel diberi nilai numerik secara subjektif tentang arti penting suatu variabel secara relatif dibandingkan dengan variable yang lain. Berbagai perbandingan tersebut kemudian disintesis untuk menetapkan prioritas variabel yang berperan dalam mempengaruhi hasil pada sistem (Marimin, 2013).</w:t>
      </w:r>
    </w:p>
    <w:p w14:paraId="27D67C87" w14:textId="77777777" w:rsidR="00FF7F88" w:rsidRPr="00936CA3" w:rsidRDefault="00FF7F88" w:rsidP="00E47CFB">
      <w:pPr>
        <w:spacing w:line="240" w:lineRule="auto"/>
        <w:ind w:firstLine="720"/>
        <w:jc w:val="both"/>
        <w:rPr>
          <w:rFonts w:eastAsia="Calibri" w:cs="Times New Roman"/>
          <w:sz w:val="22"/>
        </w:rPr>
      </w:pPr>
    </w:p>
    <w:p w14:paraId="6A7416C4" w14:textId="77777777" w:rsidR="004A5B8B" w:rsidRPr="002D22A2" w:rsidRDefault="00E47CFB" w:rsidP="00E47CFB">
      <w:pPr>
        <w:spacing w:line="240" w:lineRule="auto"/>
        <w:jc w:val="both"/>
        <w:rPr>
          <w:b/>
          <w:bCs/>
          <w:sz w:val="22"/>
          <w:lang w:val="id-ID"/>
        </w:rPr>
      </w:pPr>
      <w:r w:rsidRPr="002D22A2">
        <w:rPr>
          <w:b/>
          <w:bCs/>
          <w:sz w:val="22"/>
          <w:lang w:val="id-ID"/>
        </w:rPr>
        <w:t>3. METODOLOGI PENELITIAN</w:t>
      </w:r>
    </w:p>
    <w:p w14:paraId="018BA6E4" w14:textId="77777777" w:rsidR="00D20A89" w:rsidRPr="00D20A89" w:rsidRDefault="00E47CFB" w:rsidP="00D20A89">
      <w:pPr>
        <w:spacing w:line="240" w:lineRule="auto"/>
        <w:jc w:val="both"/>
        <w:rPr>
          <w:sz w:val="22"/>
          <w:lang w:val="en-AU"/>
        </w:rPr>
      </w:pPr>
      <w:r w:rsidRPr="002D22A2">
        <w:rPr>
          <w:sz w:val="22"/>
          <w:lang w:val="id-ID"/>
        </w:rPr>
        <w:tab/>
        <w:t xml:space="preserve">Uraian singkat metodologi penelitian yang </w:t>
      </w:r>
      <w:r w:rsidR="00D20A89" w:rsidRPr="00D20A89">
        <w:rPr>
          <w:sz w:val="22"/>
          <w:lang w:val="en-AU"/>
        </w:rPr>
        <w:t xml:space="preserve">Penelitian ini akan dilaksanakan pada bulan April 2018 hingga November 2018. Objek penelitian adalah Kelompok Tani bawang merah yang ada di Lampung Tengah. Adapun tahapan, metode, alat dan output yang diharapkan dari rangkaian aktivitas penelitian dapat ditunjukkan pada Tabel 3.1. </w:t>
      </w:r>
      <w:proofErr w:type="gramStart"/>
      <w:r w:rsidR="00D20A89" w:rsidRPr="00D20A89">
        <w:rPr>
          <w:sz w:val="22"/>
          <w:lang w:val="en-AU"/>
        </w:rPr>
        <w:t>berikut</w:t>
      </w:r>
      <w:proofErr w:type="gramEnd"/>
      <w:r w:rsidR="00D20A89" w:rsidRPr="00D20A89">
        <w:rPr>
          <w:sz w:val="22"/>
          <w:lang w:val="en-AU"/>
        </w:rPr>
        <w:t>:</w:t>
      </w:r>
    </w:p>
    <w:p w14:paraId="658E1932" w14:textId="77777777" w:rsidR="00D20A89" w:rsidRPr="00D20A89" w:rsidRDefault="00D20A89" w:rsidP="00D20A89">
      <w:pPr>
        <w:spacing w:line="240" w:lineRule="auto"/>
        <w:jc w:val="both"/>
        <w:rPr>
          <w:sz w:val="22"/>
          <w:lang w:val="en-AU"/>
        </w:rPr>
      </w:pPr>
    </w:p>
    <w:p w14:paraId="17697EFD" w14:textId="77777777" w:rsidR="00D20A89" w:rsidRPr="00D20A89" w:rsidRDefault="00D20A89" w:rsidP="00D20A89">
      <w:pPr>
        <w:spacing w:line="240" w:lineRule="auto"/>
        <w:jc w:val="both"/>
        <w:rPr>
          <w:sz w:val="22"/>
          <w:lang w:val="en-AU"/>
        </w:rPr>
        <w:sectPr w:rsidR="00D20A89" w:rsidRPr="00D20A89" w:rsidSect="00D20A89">
          <w:type w:val="continuous"/>
          <w:pgSz w:w="11907" w:h="16840"/>
          <w:pgMar w:top="1701" w:right="1134" w:bottom="1134" w:left="1418" w:header="1134" w:footer="737" w:gutter="0"/>
          <w:pgNumType w:start="1"/>
          <w:cols w:num="2" w:space="720"/>
        </w:sectPr>
      </w:pPr>
    </w:p>
    <w:p w14:paraId="33FC9F52" w14:textId="77777777" w:rsidR="00D20A89" w:rsidRDefault="00D20A89" w:rsidP="00D20A89">
      <w:pPr>
        <w:spacing w:line="240" w:lineRule="auto"/>
        <w:jc w:val="center"/>
        <w:rPr>
          <w:b/>
          <w:bCs/>
          <w:sz w:val="22"/>
          <w:lang w:val="en-AU"/>
        </w:rPr>
      </w:pPr>
    </w:p>
    <w:p w14:paraId="45397D76" w14:textId="53D59E98" w:rsidR="00D20A89" w:rsidRPr="00D20A89" w:rsidRDefault="00D20A89" w:rsidP="00D20A89">
      <w:pPr>
        <w:spacing w:line="240" w:lineRule="auto"/>
        <w:jc w:val="center"/>
        <w:rPr>
          <w:b/>
          <w:bCs/>
          <w:sz w:val="22"/>
          <w:lang w:val="en-AU"/>
        </w:rPr>
      </w:pPr>
      <w:r w:rsidRPr="00D20A89">
        <w:rPr>
          <w:b/>
          <w:bCs/>
          <w:sz w:val="22"/>
          <w:lang w:val="en-AU"/>
        </w:rPr>
        <w:t>Tabel 3.1. Tahapan Aktivitas Penelitian</w:t>
      </w:r>
    </w:p>
    <w:tbl>
      <w:tblPr>
        <w:tblStyle w:val="TableGrid"/>
        <w:tblW w:w="0" w:type="auto"/>
        <w:jc w:val="center"/>
        <w:tblLook w:val="04A0" w:firstRow="1" w:lastRow="0" w:firstColumn="1" w:lastColumn="0" w:noHBand="0" w:noVBand="1"/>
      </w:tblPr>
      <w:tblGrid>
        <w:gridCol w:w="727"/>
        <w:gridCol w:w="1489"/>
        <w:gridCol w:w="1132"/>
        <w:gridCol w:w="1543"/>
        <w:gridCol w:w="1401"/>
        <w:gridCol w:w="1197"/>
      </w:tblGrid>
      <w:tr w:rsidR="00D20A89" w:rsidRPr="00D20A89" w14:paraId="531FF2C4" w14:textId="77777777" w:rsidTr="00D20A89">
        <w:trPr>
          <w:tblHeader/>
          <w:jc w:val="center"/>
        </w:trPr>
        <w:tc>
          <w:tcPr>
            <w:tcW w:w="727" w:type="dxa"/>
            <w:tcBorders>
              <w:top w:val="single" w:sz="4" w:space="0" w:color="auto"/>
              <w:left w:val="single" w:sz="4" w:space="0" w:color="auto"/>
              <w:bottom w:val="single" w:sz="4" w:space="0" w:color="auto"/>
              <w:right w:val="single" w:sz="4" w:space="0" w:color="auto"/>
            </w:tcBorders>
            <w:hideMark/>
          </w:tcPr>
          <w:p w14:paraId="498EF1A2" w14:textId="77777777" w:rsidR="00D20A89" w:rsidRPr="00D20A89" w:rsidRDefault="00D20A89" w:rsidP="00D20A89">
            <w:pPr>
              <w:jc w:val="both"/>
              <w:rPr>
                <w:b/>
                <w:bCs/>
                <w:sz w:val="22"/>
                <w:lang w:val="en-AU"/>
              </w:rPr>
            </w:pPr>
            <w:r w:rsidRPr="00D20A89">
              <w:rPr>
                <w:b/>
                <w:bCs/>
                <w:sz w:val="22"/>
                <w:lang w:val="en-AU"/>
              </w:rPr>
              <w:t>No.</w:t>
            </w:r>
          </w:p>
        </w:tc>
        <w:tc>
          <w:tcPr>
            <w:tcW w:w="1489" w:type="dxa"/>
            <w:tcBorders>
              <w:top w:val="single" w:sz="4" w:space="0" w:color="auto"/>
              <w:left w:val="single" w:sz="4" w:space="0" w:color="auto"/>
              <w:bottom w:val="single" w:sz="4" w:space="0" w:color="auto"/>
              <w:right w:val="single" w:sz="4" w:space="0" w:color="auto"/>
            </w:tcBorders>
            <w:hideMark/>
          </w:tcPr>
          <w:p w14:paraId="0BD89E8F" w14:textId="77777777" w:rsidR="00D20A89" w:rsidRPr="00D20A89" w:rsidRDefault="00D20A89" w:rsidP="00D20A89">
            <w:pPr>
              <w:jc w:val="both"/>
              <w:rPr>
                <w:b/>
                <w:bCs/>
                <w:sz w:val="22"/>
                <w:lang w:val="en-AU"/>
              </w:rPr>
            </w:pPr>
            <w:r w:rsidRPr="00D20A89">
              <w:rPr>
                <w:b/>
                <w:bCs/>
                <w:sz w:val="22"/>
                <w:lang w:val="en-AU"/>
              </w:rPr>
              <w:t>Tahapan</w:t>
            </w:r>
          </w:p>
        </w:tc>
        <w:tc>
          <w:tcPr>
            <w:tcW w:w="1132" w:type="dxa"/>
            <w:tcBorders>
              <w:top w:val="single" w:sz="4" w:space="0" w:color="auto"/>
              <w:left w:val="single" w:sz="4" w:space="0" w:color="auto"/>
              <w:bottom w:val="single" w:sz="4" w:space="0" w:color="auto"/>
              <w:right w:val="single" w:sz="4" w:space="0" w:color="auto"/>
            </w:tcBorders>
            <w:hideMark/>
          </w:tcPr>
          <w:p w14:paraId="10478B1A" w14:textId="77777777" w:rsidR="00D20A89" w:rsidRPr="00D20A89" w:rsidRDefault="00D20A89" w:rsidP="00D20A89">
            <w:pPr>
              <w:jc w:val="both"/>
              <w:rPr>
                <w:b/>
                <w:bCs/>
                <w:sz w:val="22"/>
                <w:lang w:val="en-AU"/>
              </w:rPr>
            </w:pPr>
            <w:r w:rsidRPr="00D20A89">
              <w:rPr>
                <w:b/>
                <w:bCs/>
                <w:sz w:val="22"/>
                <w:lang w:val="en-AU"/>
              </w:rPr>
              <w:t>Metode</w:t>
            </w:r>
          </w:p>
        </w:tc>
        <w:tc>
          <w:tcPr>
            <w:tcW w:w="1467" w:type="dxa"/>
            <w:tcBorders>
              <w:top w:val="single" w:sz="4" w:space="0" w:color="auto"/>
              <w:left w:val="single" w:sz="4" w:space="0" w:color="auto"/>
              <w:bottom w:val="single" w:sz="4" w:space="0" w:color="auto"/>
              <w:right w:val="single" w:sz="4" w:space="0" w:color="auto"/>
            </w:tcBorders>
            <w:hideMark/>
          </w:tcPr>
          <w:p w14:paraId="23B00BEF" w14:textId="77777777" w:rsidR="00D20A89" w:rsidRPr="00D20A89" w:rsidRDefault="00D20A89" w:rsidP="00D20A89">
            <w:pPr>
              <w:jc w:val="both"/>
              <w:rPr>
                <w:b/>
                <w:bCs/>
                <w:sz w:val="22"/>
                <w:lang w:val="en-AU"/>
              </w:rPr>
            </w:pPr>
            <w:r w:rsidRPr="00D20A89">
              <w:rPr>
                <w:b/>
                <w:bCs/>
                <w:sz w:val="22"/>
                <w:lang w:val="en-AU"/>
              </w:rPr>
              <w:t>Perangkat</w:t>
            </w:r>
          </w:p>
        </w:tc>
        <w:tc>
          <w:tcPr>
            <w:tcW w:w="1356" w:type="dxa"/>
            <w:tcBorders>
              <w:top w:val="single" w:sz="4" w:space="0" w:color="auto"/>
              <w:left w:val="single" w:sz="4" w:space="0" w:color="auto"/>
              <w:bottom w:val="single" w:sz="4" w:space="0" w:color="auto"/>
              <w:right w:val="single" w:sz="4" w:space="0" w:color="auto"/>
            </w:tcBorders>
            <w:hideMark/>
          </w:tcPr>
          <w:p w14:paraId="33C69F19" w14:textId="77777777" w:rsidR="00D20A89" w:rsidRPr="00D20A89" w:rsidRDefault="00D20A89" w:rsidP="00D20A89">
            <w:pPr>
              <w:jc w:val="both"/>
              <w:rPr>
                <w:b/>
                <w:bCs/>
                <w:sz w:val="22"/>
                <w:lang w:val="en-AU"/>
              </w:rPr>
            </w:pPr>
            <w:r w:rsidRPr="00D20A89">
              <w:rPr>
                <w:b/>
                <w:bCs/>
                <w:sz w:val="22"/>
                <w:lang w:val="en-AU"/>
              </w:rPr>
              <w:t>Data</w:t>
            </w:r>
          </w:p>
        </w:tc>
        <w:tc>
          <w:tcPr>
            <w:tcW w:w="1197" w:type="dxa"/>
            <w:tcBorders>
              <w:top w:val="single" w:sz="4" w:space="0" w:color="auto"/>
              <w:left w:val="single" w:sz="4" w:space="0" w:color="auto"/>
              <w:bottom w:val="single" w:sz="4" w:space="0" w:color="auto"/>
              <w:right w:val="single" w:sz="4" w:space="0" w:color="auto"/>
            </w:tcBorders>
            <w:hideMark/>
          </w:tcPr>
          <w:p w14:paraId="65D262AA" w14:textId="77777777" w:rsidR="00D20A89" w:rsidRPr="00D20A89" w:rsidRDefault="00D20A89" w:rsidP="00D20A89">
            <w:pPr>
              <w:jc w:val="both"/>
              <w:rPr>
                <w:b/>
                <w:bCs/>
                <w:sz w:val="22"/>
                <w:lang w:val="en-AU"/>
              </w:rPr>
            </w:pPr>
            <w:r w:rsidRPr="00D20A89">
              <w:rPr>
                <w:b/>
                <w:bCs/>
                <w:sz w:val="22"/>
                <w:lang w:val="en-AU"/>
              </w:rPr>
              <w:t>Output</w:t>
            </w:r>
          </w:p>
        </w:tc>
      </w:tr>
      <w:tr w:rsidR="00D20A89" w:rsidRPr="00D20A89" w14:paraId="4EC880B7" w14:textId="77777777" w:rsidTr="00D20A89">
        <w:trPr>
          <w:jc w:val="center"/>
        </w:trPr>
        <w:tc>
          <w:tcPr>
            <w:tcW w:w="727" w:type="dxa"/>
            <w:tcBorders>
              <w:top w:val="single" w:sz="4" w:space="0" w:color="auto"/>
              <w:left w:val="single" w:sz="4" w:space="0" w:color="auto"/>
              <w:bottom w:val="single" w:sz="4" w:space="0" w:color="auto"/>
              <w:right w:val="single" w:sz="4" w:space="0" w:color="auto"/>
            </w:tcBorders>
            <w:hideMark/>
          </w:tcPr>
          <w:p w14:paraId="0BB12F55" w14:textId="77777777" w:rsidR="00D20A89" w:rsidRPr="00D20A89" w:rsidRDefault="00D20A89" w:rsidP="00D20A89">
            <w:pPr>
              <w:jc w:val="both"/>
              <w:rPr>
                <w:sz w:val="22"/>
                <w:lang w:val="en-AU"/>
              </w:rPr>
            </w:pPr>
            <w:r w:rsidRPr="00D20A89">
              <w:rPr>
                <w:sz w:val="22"/>
                <w:lang w:val="en-AU"/>
              </w:rPr>
              <w:t>1.</w:t>
            </w:r>
          </w:p>
        </w:tc>
        <w:tc>
          <w:tcPr>
            <w:tcW w:w="1489" w:type="dxa"/>
            <w:tcBorders>
              <w:top w:val="single" w:sz="4" w:space="0" w:color="auto"/>
              <w:left w:val="single" w:sz="4" w:space="0" w:color="auto"/>
              <w:bottom w:val="single" w:sz="4" w:space="0" w:color="auto"/>
              <w:right w:val="single" w:sz="4" w:space="0" w:color="auto"/>
            </w:tcBorders>
            <w:hideMark/>
          </w:tcPr>
          <w:p w14:paraId="27719976" w14:textId="77777777" w:rsidR="00D20A89" w:rsidRPr="00D20A89" w:rsidRDefault="00D20A89" w:rsidP="00D20A89">
            <w:pPr>
              <w:jc w:val="both"/>
              <w:rPr>
                <w:sz w:val="22"/>
                <w:lang w:val="en-AU"/>
              </w:rPr>
            </w:pPr>
            <w:r w:rsidRPr="00D20A89">
              <w:rPr>
                <w:sz w:val="22"/>
                <w:lang w:val="en-AU"/>
              </w:rPr>
              <w:t>Identifikasi Risiko</w:t>
            </w:r>
          </w:p>
        </w:tc>
        <w:tc>
          <w:tcPr>
            <w:tcW w:w="1132" w:type="dxa"/>
            <w:tcBorders>
              <w:top w:val="single" w:sz="4" w:space="0" w:color="auto"/>
              <w:left w:val="single" w:sz="4" w:space="0" w:color="auto"/>
              <w:bottom w:val="single" w:sz="4" w:space="0" w:color="auto"/>
              <w:right w:val="single" w:sz="4" w:space="0" w:color="auto"/>
            </w:tcBorders>
            <w:hideMark/>
          </w:tcPr>
          <w:p w14:paraId="4C190594" w14:textId="77777777" w:rsidR="00D20A89" w:rsidRPr="00D20A89" w:rsidRDefault="00D20A89" w:rsidP="00D20A89">
            <w:pPr>
              <w:jc w:val="both"/>
              <w:rPr>
                <w:sz w:val="22"/>
                <w:lang w:val="en-AU"/>
              </w:rPr>
            </w:pPr>
            <w:r w:rsidRPr="00D20A89">
              <w:rPr>
                <w:sz w:val="22"/>
                <w:lang w:val="en-AU"/>
              </w:rPr>
              <w:t>SCOR, FMEA</w:t>
            </w:r>
          </w:p>
        </w:tc>
        <w:tc>
          <w:tcPr>
            <w:tcW w:w="1467" w:type="dxa"/>
            <w:tcBorders>
              <w:top w:val="single" w:sz="4" w:space="0" w:color="auto"/>
              <w:left w:val="single" w:sz="4" w:space="0" w:color="auto"/>
              <w:bottom w:val="single" w:sz="4" w:space="0" w:color="auto"/>
              <w:right w:val="single" w:sz="4" w:space="0" w:color="auto"/>
            </w:tcBorders>
            <w:hideMark/>
          </w:tcPr>
          <w:p w14:paraId="76F7E411" w14:textId="77777777" w:rsidR="00D20A89" w:rsidRPr="00D20A89" w:rsidRDefault="00D20A89" w:rsidP="00D20A89">
            <w:pPr>
              <w:jc w:val="both"/>
              <w:rPr>
                <w:sz w:val="22"/>
                <w:lang w:val="en-AU"/>
              </w:rPr>
            </w:pPr>
            <w:r w:rsidRPr="00D20A89">
              <w:rPr>
                <w:sz w:val="22"/>
                <w:lang w:val="en-AU"/>
              </w:rPr>
              <w:t>Observasi, Brainstorming,</w:t>
            </w:r>
          </w:p>
          <w:p w14:paraId="1EF55032" w14:textId="77777777" w:rsidR="00D20A89" w:rsidRPr="00D20A89" w:rsidRDefault="00D20A89" w:rsidP="00D20A89">
            <w:pPr>
              <w:jc w:val="both"/>
              <w:rPr>
                <w:sz w:val="22"/>
                <w:lang w:val="en-AU"/>
              </w:rPr>
            </w:pPr>
            <w:r w:rsidRPr="00D20A89">
              <w:rPr>
                <w:sz w:val="22"/>
                <w:lang w:val="en-AU"/>
              </w:rPr>
              <w:lastRenderedPageBreak/>
              <w:t>Wawancara,</w:t>
            </w:r>
          </w:p>
        </w:tc>
        <w:tc>
          <w:tcPr>
            <w:tcW w:w="1356" w:type="dxa"/>
            <w:tcBorders>
              <w:top w:val="single" w:sz="4" w:space="0" w:color="auto"/>
              <w:left w:val="single" w:sz="4" w:space="0" w:color="auto"/>
              <w:bottom w:val="single" w:sz="4" w:space="0" w:color="auto"/>
              <w:right w:val="single" w:sz="4" w:space="0" w:color="auto"/>
            </w:tcBorders>
            <w:hideMark/>
          </w:tcPr>
          <w:p w14:paraId="441256EB" w14:textId="77777777" w:rsidR="00D20A89" w:rsidRPr="00D20A89" w:rsidRDefault="00D20A89" w:rsidP="00D20A89">
            <w:pPr>
              <w:jc w:val="both"/>
              <w:rPr>
                <w:sz w:val="22"/>
                <w:lang w:val="en-AU"/>
              </w:rPr>
            </w:pPr>
            <w:r w:rsidRPr="00D20A89">
              <w:rPr>
                <w:sz w:val="22"/>
                <w:lang w:val="en-AU"/>
              </w:rPr>
              <w:lastRenderedPageBreak/>
              <w:t>Data</w:t>
            </w:r>
          </w:p>
          <w:p w14:paraId="0E9D5D86" w14:textId="77777777" w:rsidR="00D20A89" w:rsidRPr="00D20A89" w:rsidRDefault="00D20A89" w:rsidP="00D20A89">
            <w:pPr>
              <w:jc w:val="both"/>
              <w:rPr>
                <w:sz w:val="22"/>
                <w:lang w:val="en-AU"/>
              </w:rPr>
            </w:pPr>
            <w:r w:rsidRPr="00D20A89">
              <w:rPr>
                <w:sz w:val="22"/>
                <w:lang w:val="en-AU"/>
              </w:rPr>
              <w:t>identifikasi</w:t>
            </w:r>
          </w:p>
          <w:p w14:paraId="4619A396" w14:textId="77777777" w:rsidR="00D20A89" w:rsidRPr="00D20A89" w:rsidRDefault="00D20A89" w:rsidP="00D20A89">
            <w:pPr>
              <w:jc w:val="both"/>
              <w:rPr>
                <w:sz w:val="22"/>
                <w:lang w:val="en-AU"/>
              </w:rPr>
            </w:pPr>
            <w:r w:rsidRPr="00D20A89">
              <w:rPr>
                <w:sz w:val="22"/>
                <w:lang w:val="en-AU"/>
              </w:rPr>
              <w:lastRenderedPageBreak/>
              <w:t>risiko dan</w:t>
            </w:r>
          </w:p>
          <w:p w14:paraId="60A59D63" w14:textId="77777777" w:rsidR="00D20A89" w:rsidRPr="00D20A89" w:rsidRDefault="00D20A89" w:rsidP="00D20A89">
            <w:pPr>
              <w:jc w:val="both"/>
              <w:rPr>
                <w:sz w:val="22"/>
                <w:lang w:val="en-AU"/>
              </w:rPr>
            </w:pPr>
            <w:r w:rsidRPr="00D20A89">
              <w:rPr>
                <w:sz w:val="22"/>
                <w:lang w:val="en-AU"/>
              </w:rPr>
              <w:t>sumber</w:t>
            </w:r>
          </w:p>
          <w:p w14:paraId="4C93CE62" w14:textId="77777777" w:rsidR="00D20A89" w:rsidRPr="00D20A89" w:rsidRDefault="00D20A89" w:rsidP="00D20A89">
            <w:pPr>
              <w:jc w:val="both"/>
              <w:rPr>
                <w:sz w:val="22"/>
                <w:lang w:val="en-AU"/>
              </w:rPr>
            </w:pPr>
            <w:r w:rsidRPr="00D20A89">
              <w:rPr>
                <w:sz w:val="22"/>
                <w:lang w:val="en-AU"/>
              </w:rPr>
              <w:t>risiko</w:t>
            </w:r>
          </w:p>
        </w:tc>
        <w:tc>
          <w:tcPr>
            <w:tcW w:w="1197" w:type="dxa"/>
            <w:tcBorders>
              <w:top w:val="single" w:sz="4" w:space="0" w:color="auto"/>
              <w:left w:val="single" w:sz="4" w:space="0" w:color="auto"/>
              <w:bottom w:val="single" w:sz="4" w:space="0" w:color="auto"/>
              <w:right w:val="single" w:sz="4" w:space="0" w:color="auto"/>
            </w:tcBorders>
            <w:hideMark/>
          </w:tcPr>
          <w:p w14:paraId="5D616343" w14:textId="77777777" w:rsidR="00D20A89" w:rsidRPr="00D20A89" w:rsidRDefault="00D20A89" w:rsidP="00D20A89">
            <w:pPr>
              <w:jc w:val="both"/>
              <w:rPr>
                <w:sz w:val="22"/>
                <w:lang w:val="en-AU"/>
              </w:rPr>
            </w:pPr>
            <w:r w:rsidRPr="00D20A89">
              <w:rPr>
                <w:sz w:val="22"/>
                <w:lang w:val="en-AU"/>
              </w:rPr>
              <w:lastRenderedPageBreak/>
              <w:t>Sumber-sumber</w:t>
            </w:r>
          </w:p>
          <w:p w14:paraId="7C29DD20" w14:textId="77777777" w:rsidR="00D20A89" w:rsidRPr="00D20A89" w:rsidRDefault="00D20A89" w:rsidP="00D20A89">
            <w:pPr>
              <w:jc w:val="both"/>
              <w:rPr>
                <w:sz w:val="22"/>
                <w:lang w:val="en-AU"/>
              </w:rPr>
            </w:pPr>
            <w:r w:rsidRPr="00D20A89">
              <w:rPr>
                <w:sz w:val="22"/>
                <w:lang w:val="en-AU"/>
              </w:rPr>
              <w:lastRenderedPageBreak/>
              <w:t>risiko (risk</w:t>
            </w:r>
          </w:p>
          <w:p w14:paraId="6D150205" w14:textId="77777777" w:rsidR="00D20A89" w:rsidRPr="00D20A89" w:rsidRDefault="00D20A89" w:rsidP="00D20A89">
            <w:pPr>
              <w:jc w:val="both"/>
              <w:rPr>
                <w:sz w:val="22"/>
                <w:lang w:val="en-AU"/>
              </w:rPr>
            </w:pPr>
            <w:r w:rsidRPr="00D20A89">
              <w:rPr>
                <w:sz w:val="22"/>
                <w:lang w:val="en-AU"/>
              </w:rPr>
              <w:t>agent)</w:t>
            </w:r>
          </w:p>
          <w:p w14:paraId="59FB5B26" w14:textId="77777777" w:rsidR="00D20A89" w:rsidRPr="00D20A89" w:rsidRDefault="00D20A89" w:rsidP="00D20A89">
            <w:pPr>
              <w:jc w:val="both"/>
              <w:rPr>
                <w:sz w:val="22"/>
                <w:lang w:val="en-AU"/>
              </w:rPr>
            </w:pPr>
            <w:r w:rsidRPr="00D20A89">
              <w:rPr>
                <w:sz w:val="22"/>
                <w:lang w:val="en-AU"/>
              </w:rPr>
              <w:t>Kejadian Risiko</w:t>
            </w:r>
          </w:p>
          <w:p w14:paraId="1AE498D9" w14:textId="77777777" w:rsidR="00D20A89" w:rsidRPr="00D20A89" w:rsidRDefault="00D20A89" w:rsidP="00D20A89">
            <w:pPr>
              <w:jc w:val="both"/>
              <w:rPr>
                <w:sz w:val="22"/>
                <w:lang w:val="en-AU"/>
              </w:rPr>
            </w:pPr>
            <w:r w:rsidRPr="00D20A89">
              <w:rPr>
                <w:sz w:val="22"/>
                <w:lang w:val="en-AU"/>
              </w:rPr>
              <w:t>(risk Event)</w:t>
            </w:r>
          </w:p>
        </w:tc>
      </w:tr>
      <w:tr w:rsidR="00D20A89" w:rsidRPr="00D20A89" w14:paraId="1AD815EB" w14:textId="77777777" w:rsidTr="00D20A89">
        <w:trPr>
          <w:jc w:val="center"/>
        </w:trPr>
        <w:tc>
          <w:tcPr>
            <w:tcW w:w="727" w:type="dxa"/>
            <w:tcBorders>
              <w:top w:val="single" w:sz="4" w:space="0" w:color="auto"/>
              <w:left w:val="single" w:sz="4" w:space="0" w:color="auto"/>
              <w:bottom w:val="single" w:sz="4" w:space="0" w:color="auto"/>
              <w:right w:val="single" w:sz="4" w:space="0" w:color="auto"/>
            </w:tcBorders>
            <w:hideMark/>
          </w:tcPr>
          <w:p w14:paraId="7CFEDC0C" w14:textId="77777777" w:rsidR="00D20A89" w:rsidRPr="00D20A89" w:rsidRDefault="00D20A89" w:rsidP="00D20A89">
            <w:pPr>
              <w:jc w:val="both"/>
              <w:rPr>
                <w:sz w:val="22"/>
                <w:lang w:val="en-AU"/>
              </w:rPr>
            </w:pPr>
            <w:r w:rsidRPr="00D20A89">
              <w:rPr>
                <w:sz w:val="22"/>
                <w:lang w:val="en-AU"/>
              </w:rPr>
              <w:lastRenderedPageBreak/>
              <w:t>2.</w:t>
            </w:r>
          </w:p>
        </w:tc>
        <w:tc>
          <w:tcPr>
            <w:tcW w:w="1489" w:type="dxa"/>
            <w:tcBorders>
              <w:top w:val="single" w:sz="4" w:space="0" w:color="auto"/>
              <w:left w:val="single" w:sz="4" w:space="0" w:color="auto"/>
              <w:bottom w:val="single" w:sz="4" w:space="0" w:color="auto"/>
              <w:right w:val="single" w:sz="4" w:space="0" w:color="auto"/>
            </w:tcBorders>
            <w:hideMark/>
          </w:tcPr>
          <w:p w14:paraId="584CA3F5" w14:textId="77777777" w:rsidR="00D20A89" w:rsidRPr="00D20A89" w:rsidRDefault="00D20A89" w:rsidP="00D20A89">
            <w:pPr>
              <w:jc w:val="both"/>
              <w:rPr>
                <w:sz w:val="22"/>
                <w:lang w:val="en-AU"/>
              </w:rPr>
            </w:pPr>
            <w:r w:rsidRPr="00D20A89">
              <w:rPr>
                <w:sz w:val="22"/>
                <w:lang w:val="en-AU"/>
              </w:rPr>
              <w:t>Analisis Risiko</w:t>
            </w:r>
          </w:p>
        </w:tc>
        <w:tc>
          <w:tcPr>
            <w:tcW w:w="1132" w:type="dxa"/>
            <w:tcBorders>
              <w:top w:val="single" w:sz="4" w:space="0" w:color="auto"/>
              <w:left w:val="single" w:sz="4" w:space="0" w:color="auto"/>
              <w:bottom w:val="single" w:sz="4" w:space="0" w:color="auto"/>
              <w:right w:val="single" w:sz="4" w:space="0" w:color="auto"/>
            </w:tcBorders>
            <w:hideMark/>
          </w:tcPr>
          <w:p w14:paraId="0F3AC18D" w14:textId="77777777" w:rsidR="00D20A89" w:rsidRPr="00D20A89" w:rsidRDefault="00D20A89" w:rsidP="00D20A89">
            <w:pPr>
              <w:jc w:val="both"/>
              <w:rPr>
                <w:sz w:val="22"/>
                <w:lang w:val="en-AU"/>
              </w:rPr>
            </w:pPr>
            <w:r w:rsidRPr="00D20A89">
              <w:rPr>
                <w:sz w:val="22"/>
                <w:lang w:val="en-AU"/>
              </w:rPr>
              <w:t>FMEA, AHP,</w:t>
            </w:r>
          </w:p>
          <w:p w14:paraId="5C200601" w14:textId="77777777" w:rsidR="00D20A89" w:rsidRPr="00D20A89" w:rsidRDefault="00D20A89" w:rsidP="00D20A89">
            <w:pPr>
              <w:jc w:val="both"/>
              <w:rPr>
                <w:sz w:val="22"/>
                <w:lang w:val="en-AU"/>
              </w:rPr>
            </w:pPr>
            <w:r w:rsidRPr="00D20A89">
              <w:rPr>
                <w:sz w:val="22"/>
                <w:lang w:val="en-AU"/>
              </w:rPr>
              <w:t>HOR I</w:t>
            </w:r>
          </w:p>
        </w:tc>
        <w:tc>
          <w:tcPr>
            <w:tcW w:w="1467" w:type="dxa"/>
            <w:tcBorders>
              <w:top w:val="single" w:sz="4" w:space="0" w:color="auto"/>
              <w:left w:val="single" w:sz="4" w:space="0" w:color="auto"/>
              <w:bottom w:val="single" w:sz="4" w:space="0" w:color="auto"/>
              <w:right w:val="single" w:sz="4" w:space="0" w:color="auto"/>
            </w:tcBorders>
          </w:tcPr>
          <w:p w14:paraId="53932EA7" w14:textId="77777777" w:rsidR="00D20A89" w:rsidRPr="00D20A89" w:rsidRDefault="00D20A89" w:rsidP="00D20A89">
            <w:pPr>
              <w:jc w:val="both"/>
              <w:rPr>
                <w:sz w:val="22"/>
                <w:lang w:val="en-AU"/>
              </w:rPr>
            </w:pPr>
          </w:p>
        </w:tc>
        <w:tc>
          <w:tcPr>
            <w:tcW w:w="1356" w:type="dxa"/>
            <w:tcBorders>
              <w:top w:val="single" w:sz="4" w:space="0" w:color="auto"/>
              <w:left w:val="single" w:sz="4" w:space="0" w:color="auto"/>
              <w:bottom w:val="single" w:sz="4" w:space="0" w:color="auto"/>
              <w:right w:val="single" w:sz="4" w:space="0" w:color="auto"/>
            </w:tcBorders>
            <w:hideMark/>
          </w:tcPr>
          <w:p w14:paraId="507191C9" w14:textId="77777777" w:rsidR="00D20A89" w:rsidRPr="00D20A89" w:rsidRDefault="00D20A89" w:rsidP="00D20A89">
            <w:pPr>
              <w:jc w:val="both"/>
              <w:rPr>
                <w:sz w:val="22"/>
                <w:lang w:val="en-AU"/>
              </w:rPr>
            </w:pPr>
            <w:r w:rsidRPr="00D20A89">
              <w:rPr>
                <w:sz w:val="22"/>
                <w:lang w:val="en-AU"/>
              </w:rPr>
              <w:t>Data</w:t>
            </w:r>
          </w:p>
          <w:p w14:paraId="2FF2B30C" w14:textId="77777777" w:rsidR="00D20A89" w:rsidRPr="00D20A89" w:rsidRDefault="00D20A89" w:rsidP="00D20A89">
            <w:pPr>
              <w:jc w:val="both"/>
              <w:rPr>
                <w:sz w:val="22"/>
                <w:lang w:val="en-AU"/>
              </w:rPr>
            </w:pPr>
            <w:r w:rsidRPr="00D20A89">
              <w:rPr>
                <w:sz w:val="22"/>
                <w:lang w:val="en-AU"/>
              </w:rPr>
              <w:t>severity,</w:t>
            </w:r>
          </w:p>
          <w:p w14:paraId="0CCBA3D6" w14:textId="77777777" w:rsidR="00D20A89" w:rsidRPr="00D20A89" w:rsidRDefault="00D20A89" w:rsidP="00D20A89">
            <w:pPr>
              <w:jc w:val="both"/>
              <w:rPr>
                <w:sz w:val="22"/>
                <w:lang w:val="en-AU"/>
              </w:rPr>
            </w:pPr>
            <w:r w:rsidRPr="00D20A89">
              <w:rPr>
                <w:sz w:val="22"/>
                <w:lang w:val="en-AU"/>
              </w:rPr>
              <w:t>occurrence,</w:t>
            </w:r>
          </w:p>
          <w:p w14:paraId="7B58FF5D" w14:textId="77777777" w:rsidR="00D20A89" w:rsidRPr="00D20A89" w:rsidRDefault="00D20A89" w:rsidP="00D20A89">
            <w:pPr>
              <w:jc w:val="both"/>
              <w:rPr>
                <w:sz w:val="22"/>
                <w:lang w:val="en-AU"/>
              </w:rPr>
            </w:pPr>
            <w:r w:rsidRPr="00D20A89">
              <w:rPr>
                <w:sz w:val="22"/>
                <w:lang w:val="en-AU"/>
              </w:rPr>
              <w:t>dan korelasi</w:t>
            </w:r>
          </w:p>
        </w:tc>
        <w:tc>
          <w:tcPr>
            <w:tcW w:w="1197" w:type="dxa"/>
            <w:tcBorders>
              <w:top w:val="single" w:sz="4" w:space="0" w:color="auto"/>
              <w:left w:val="single" w:sz="4" w:space="0" w:color="auto"/>
              <w:bottom w:val="single" w:sz="4" w:space="0" w:color="auto"/>
              <w:right w:val="single" w:sz="4" w:space="0" w:color="auto"/>
            </w:tcBorders>
            <w:hideMark/>
          </w:tcPr>
          <w:p w14:paraId="20497C96" w14:textId="77777777" w:rsidR="00D20A89" w:rsidRPr="00D20A89" w:rsidRDefault="00D20A89" w:rsidP="00D20A89">
            <w:pPr>
              <w:jc w:val="both"/>
              <w:rPr>
                <w:sz w:val="22"/>
                <w:lang w:val="en-AU"/>
              </w:rPr>
            </w:pPr>
            <w:r w:rsidRPr="00D20A89">
              <w:rPr>
                <w:sz w:val="22"/>
                <w:lang w:val="en-AU"/>
              </w:rPr>
              <w:t>Aggregat Risk</w:t>
            </w:r>
          </w:p>
          <w:p w14:paraId="3E3D4C40" w14:textId="77777777" w:rsidR="00D20A89" w:rsidRPr="00D20A89" w:rsidRDefault="00D20A89" w:rsidP="00D20A89">
            <w:pPr>
              <w:jc w:val="both"/>
              <w:rPr>
                <w:sz w:val="22"/>
                <w:lang w:val="en-AU"/>
              </w:rPr>
            </w:pPr>
            <w:r w:rsidRPr="00D20A89">
              <w:rPr>
                <w:sz w:val="22"/>
                <w:lang w:val="en-AU"/>
              </w:rPr>
              <w:t>Potentials</w:t>
            </w:r>
          </w:p>
          <w:p w14:paraId="50A31136" w14:textId="77777777" w:rsidR="00D20A89" w:rsidRPr="00D20A89" w:rsidRDefault="00D20A89" w:rsidP="00D20A89">
            <w:pPr>
              <w:jc w:val="both"/>
              <w:rPr>
                <w:sz w:val="22"/>
                <w:lang w:val="en-AU"/>
              </w:rPr>
            </w:pPr>
            <w:r w:rsidRPr="00D20A89">
              <w:rPr>
                <w:sz w:val="22"/>
                <w:lang w:val="en-AU"/>
              </w:rPr>
              <w:t>(ARP)</w:t>
            </w:r>
          </w:p>
        </w:tc>
      </w:tr>
      <w:tr w:rsidR="00D20A89" w:rsidRPr="00D20A89" w14:paraId="00D41763" w14:textId="77777777" w:rsidTr="00D20A89">
        <w:trPr>
          <w:jc w:val="center"/>
        </w:trPr>
        <w:tc>
          <w:tcPr>
            <w:tcW w:w="727" w:type="dxa"/>
            <w:tcBorders>
              <w:top w:val="single" w:sz="4" w:space="0" w:color="auto"/>
              <w:left w:val="single" w:sz="4" w:space="0" w:color="auto"/>
              <w:bottom w:val="single" w:sz="4" w:space="0" w:color="auto"/>
              <w:right w:val="single" w:sz="4" w:space="0" w:color="auto"/>
            </w:tcBorders>
            <w:hideMark/>
          </w:tcPr>
          <w:p w14:paraId="6ECD8EEB" w14:textId="77777777" w:rsidR="00D20A89" w:rsidRPr="00D20A89" w:rsidRDefault="00D20A89" w:rsidP="00D20A89">
            <w:pPr>
              <w:jc w:val="both"/>
              <w:rPr>
                <w:sz w:val="22"/>
                <w:lang w:val="en-AU"/>
              </w:rPr>
            </w:pPr>
            <w:r w:rsidRPr="00D20A89">
              <w:rPr>
                <w:sz w:val="22"/>
                <w:lang w:val="en-AU"/>
              </w:rPr>
              <w:t>3.</w:t>
            </w:r>
          </w:p>
        </w:tc>
        <w:tc>
          <w:tcPr>
            <w:tcW w:w="1489" w:type="dxa"/>
            <w:tcBorders>
              <w:top w:val="single" w:sz="4" w:space="0" w:color="auto"/>
              <w:left w:val="single" w:sz="4" w:space="0" w:color="auto"/>
              <w:bottom w:val="single" w:sz="4" w:space="0" w:color="auto"/>
              <w:right w:val="single" w:sz="4" w:space="0" w:color="auto"/>
            </w:tcBorders>
            <w:hideMark/>
          </w:tcPr>
          <w:p w14:paraId="5EF0B033" w14:textId="77777777" w:rsidR="00D20A89" w:rsidRPr="00D20A89" w:rsidRDefault="00D20A89" w:rsidP="00D20A89">
            <w:pPr>
              <w:jc w:val="both"/>
              <w:rPr>
                <w:sz w:val="22"/>
                <w:lang w:val="en-AU"/>
              </w:rPr>
            </w:pPr>
            <w:r w:rsidRPr="00D20A89">
              <w:rPr>
                <w:sz w:val="22"/>
                <w:lang w:val="en-AU"/>
              </w:rPr>
              <w:t>Evaluasi Risiko</w:t>
            </w:r>
          </w:p>
        </w:tc>
        <w:tc>
          <w:tcPr>
            <w:tcW w:w="1132" w:type="dxa"/>
            <w:tcBorders>
              <w:top w:val="single" w:sz="4" w:space="0" w:color="auto"/>
              <w:left w:val="single" w:sz="4" w:space="0" w:color="auto"/>
              <w:bottom w:val="single" w:sz="4" w:space="0" w:color="auto"/>
              <w:right w:val="single" w:sz="4" w:space="0" w:color="auto"/>
            </w:tcBorders>
            <w:hideMark/>
          </w:tcPr>
          <w:p w14:paraId="52A484D8" w14:textId="77777777" w:rsidR="00D20A89" w:rsidRPr="00D20A89" w:rsidRDefault="00D20A89" w:rsidP="00D20A89">
            <w:pPr>
              <w:jc w:val="both"/>
              <w:rPr>
                <w:sz w:val="22"/>
                <w:lang w:val="en-AU"/>
              </w:rPr>
            </w:pPr>
            <w:r w:rsidRPr="00D20A89">
              <w:rPr>
                <w:sz w:val="22"/>
                <w:lang w:val="en-AU"/>
              </w:rPr>
              <w:t>Diagram Paretto, AHP,</w:t>
            </w:r>
          </w:p>
          <w:p w14:paraId="0C893707" w14:textId="77777777" w:rsidR="00D20A89" w:rsidRPr="00D20A89" w:rsidRDefault="00D20A89" w:rsidP="00D20A89">
            <w:pPr>
              <w:jc w:val="both"/>
              <w:rPr>
                <w:sz w:val="22"/>
                <w:lang w:val="en-AU"/>
              </w:rPr>
            </w:pPr>
            <w:r w:rsidRPr="00D20A89">
              <w:rPr>
                <w:sz w:val="22"/>
                <w:lang w:val="en-AU"/>
              </w:rPr>
              <w:t>HOR I</w:t>
            </w:r>
          </w:p>
        </w:tc>
        <w:tc>
          <w:tcPr>
            <w:tcW w:w="1467" w:type="dxa"/>
            <w:tcBorders>
              <w:top w:val="single" w:sz="4" w:space="0" w:color="auto"/>
              <w:left w:val="single" w:sz="4" w:space="0" w:color="auto"/>
              <w:bottom w:val="single" w:sz="4" w:space="0" w:color="auto"/>
              <w:right w:val="single" w:sz="4" w:space="0" w:color="auto"/>
            </w:tcBorders>
          </w:tcPr>
          <w:p w14:paraId="0710B1E2" w14:textId="77777777" w:rsidR="00D20A89" w:rsidRPr="00D20A89" w:rsidRDefault="00D20A89" w:rsidP="00D20A89">
            <w:pPr>
              <w:jc w:val="both"/>
              <w:rPr>
                <w:sz w:val="22"/>
                <w:lang w:val="en-AU"/>
              </w:rPr>
            </w:pPr>
          </w:p>
        </w:tc>
        <w:tc>
          <w:tcPr>
            <w:tcW w:w="1356" w:type="dxa"/>
            <w:tcBorders>
              <w:top w:val="single" w:sz="4" w:space="0" w:color="auto"/>
              <w:left w:val="single" w:sz="4" w:space="0" w:color="auto"/>
              <w:bottom w:val="single" w:sz="4" w:space="0" w:color="auto"/>
              <w:right w:val="single" w:sz="4" w:space="0" w:color="auto"/>
            </w:tcBorders>
            <w:hideMark/>
          </w:tcPr>
          <w:p w14:paraId="2684D045" w14:textId="77777777" w:rsidR="00D20A89" w:rsidRPr="00D20A89" w:rsidRDefault="00D20A89" w:rsidP="00D20A89">
            <w:pPr>
              <w:jc w:val="both"/>
              <w:rPr>
                <w:sz w:val="22"/>
                <w:lang w:val="en-AU"/>
              </w:rPr>
            </w:pPr>
            <w:r w:rsidRPr="00D20A89">
              <w:rPr>
                <w:sz w:val="22"/>
                <w:lang w:val="en-AU"/>
              </w:rPr>
              <w:t>Nilai</w:t>
            </w:r>
          </w:p>
          <w:p w14:paraId="50369E23" w14:textId="77777777" w:rsidR="00D20A89" w:rsidRPr="00D20A89" w:rsidRDefault="00D20A89" w:rsidP="00D20A89">
            <w:pPr>
              <w:jc w:val="both"/>
              <w:rPr>
                <w:sz w:val="22"/>
                <w:lang w:val="en-AU"/>
              </w:rPr>
            </w:pPr>
            <w:r w:rsidRPr="00D20A89">
              <w:rPr>
                <w:sz w:val="22"/>
                <w:lang w:val="en-AU"/>
              </w:rPr>
              <w:t>Aggregate Risk</w:t>
            </w:r>
          </w:p>
          <w:p w14:paraId="5A5D91F6" w14:textId="77777777" w:rsidR="00D20A89" w:rsidRPr="00D20A89" w:rsidRDefault="00D20A89" w:rsidP="00D20A89">
            <w:pPr>
              <w:jc w:val="both"/>
              <w:rPr>
                <w:sz w:val="22"/>
                <w:lang w:val="en-AU"/>
              </w:rPr>
            </w:pPr>
            <w:r w:rsidRPr="00D20A89">
              <w:rPr>
                <w:sz w:val="22"/>
                <w:lang w:val="en-AU"/>
              </w:rPr>
              <w:t>Potentials</w:t>
            </w:r>
          </w:p>
          <w:p w14:paraId="52B55DC3" w14:textId="77777777" w:rsidR="00D20A89" w:rsidRPr="00D20A89" w:rsidRDefault="00D20A89" w:rsidP="00D20A89">
            <w:pPr>
              <w:jc w:val="both"/>
              <w:rPr>
                <w:sz w:val="22"/>
                <w:lang w:val="en-AU"/>
              </w:rPr>
            </w:pPr>
            <w:r w:rsidRPr="00D20A89">
              <w:rPr>
                <w:sz w:val="22"/>
                <w:lang w:val="en-AU"/>
              </w:rPr>
              <w:t>(ARP)</w:t>
            </w:r>
          </w:p>
        </w:tc>
        <w:tc>
          <w:tcPr>
            <w:tcW w:w="1197" w:type="dxa"/>
            <w:tcBorders>
              <w:top w:val="single" w:sz="4" w:space="0" w:color="auto"/>
              <w:left w:val="single" w:sz="4" w:space="0" w:color="auto"/>
              <w:bottom w:val="single" w:sz="4" w:space="0" w:color="auto"/>
              <w:right w:val="single" w:sz="4" w:space="0" w:color="auto"/>
            </w:tcBorders>
            <w:hideMark/>
          </w:tcPr>
          <w:p w14:paraId="12DAE20D" w14:textId="77777777" w:rsidR="00D20A89" w:rsidRPr="00D20A89" w:rsidRDefault="00D20A89" w:rsidP="00D20A89">
            <w:pPr>
              <w:jc w:val="both"/>
              <w:rPr>
                <w:sz w:val="22"/>
                <w:lang w:val="en-AU"/>
              </w:rPr>
            </w:pPr>
            <w:r w:rsidRPr="00D20A89">
              <w:rPr>
                <w:sz w:val="22"/>
                <w:lang w:val="en-AU"/>
              </w:rPr>
              <w:t>Prioritas sumber</w:t>
            </w:r>
          </w:p>
          <w:p w14:paraId="721EC8E3" w14:textId="77777777" w:rsidR="00D20A89" w:rsidRPr="00D20A89" w:rsidRDefault="00D20A89" w:rsidP="00D20A89">
            <w:pPr>
              <w:jc w:val="both"/>
              <w:rPr>
                <w:sz w:val="22"/>
                <w:lang w:val="en-AU"/>
              </w:rPr>
            </w:pPr>
            <w:r w:rsidRPr="00D20A89">
              <w:rPr>
                <w:sz w:val="22"/>
                <w:lang w:val="en-AU"/>
              </w:rPr>
              <w:t>risiko yang akan</w:t>
            </w:r>
          </w:p>
          <w:p w14:paraId="220DA733" w14:textId="77777777" w:rsidR="00D20A89" w:rsidRPr="00D20A89" w:rsidRDefault="00D20A89" w:rsidP="00D20A89">
            <w:pPr>
              <w:jc w:val="both"/>
              <w:rPr>
                <w:sz w:val="22"/>
                <w:lang w:val="en-AU"/>
              </w:rPr>
            </w:pPr>
            <w:r w:rsidRPr="00D20A89">
              <w:rPr>
                <w:sz w:val="22"/>
                <w:lang w:val="en-AU"/>
              </w:rPr>
              <w:t xml:space="preserve">ditangani </w:t>
            </w:r>
          </w:p>
        </w:tc>
      </w:tr>
      <w:tr w:rsidR="00D20A89" w:rsidRPr="00D20A89" w14:paraId="40C6CB89" w14:textId="77777777" w:rsidTr="00D20A89">
        <w:trPr>
          <w:jc w:val="center"/>
        </w:trPr>
        <w:tc>
          <w:tcPr>
            <w:tcW w:w="727" w:type="dxa"/>
            <w:tcBorders>
              <w:top w:val="single" w:sz="4" w:space="0" w:color="auto"/>
              <w:left w:val="single" w:sz="4" w:space="0" w:color="auto"/>
              <w:bottom w:val="single" w:sz="4" w:space="0" w:color="auto"/>
              <w:right w:val="single" w:sz="4" w:space="0" w:color="auto"/>
            </w:tcBorders>
            <w:hideMark/>
          </w:tcPr>
          <w:p w14:paraId="6391EBDB" w14:textId="77777777" w:rsidR="00D20A89" w:rsidRPr="00D20A89" w:rsidRDefault="00D20A89" w:rsidP="00D20A89">
            <w:pPr>
              <w:jc w:val="both"/>
              <w:rPr>
                <w:sz w:val="22"/>
                <w:lang w:val="en-AU"/>
              </w:rPr>
            </w:pPr>
            <w:r w:rsidRPr="00D20A89">
              <w:rPr>
                <w:sz w:val="22"/>
                <w:lang w:val="en-AU"/>
              </w:rPr>
              <w:t>4.</w:t>
            </w:r>
          </w:p>
        </w:tc>
        <w:tc>
          <w:tcPr>
            <w:tcW w:w="1489" w:type="dxa"/>
            <w:tcBorders>
              <w:top w:val="single" w:sz="4" w:space="0" w:color="auto"/>
              <w:left w:val="single" w:sz="4" w:space="0" w:color="auto"/>
              <w:bottom w:val="single" w:sz="4" w:space="0" w:color="auto"/>
              <w:right w:val="single" w:sz="4" w:space="0" w:color="auto"/>
            </w:tcBorders>
            <w:hideMark/>
          </w:tcPr>
          <w:p w14:paraId="701227EB" w14:textId="77777777" w:rsidR="00D20A89" w:rsidRPr="00D20A89" w:rsidRDefault="00D20A89" w:rsidP="00D20A89">
            <w:pPr>
              <w:jc w:val="both"/>
              <w:rPr>
                <w:sz w:val="22"/>
                <w:lang w:val="en-AU"/>
              </w:rPr>
            </w:pPr>
            <w:r w:rsidRPr="00D20A89">
              <w:rPr>
                <w:sz w:val="22"/>
                <w:lang w:val="en-AU"/>
              </w:rPr>
              <w:t>Mitigasi Risiko</w:t>
            </w:r>
          </w:p>
        </w:tc>
        <w:tc>
          <w:tcPr>
            <w:tcW w:w="1132" w:type="dxa"/>
            <w:tcBorders>
              <w:top w:val="single" w:sz="4" w:space="0" w:color="auto"/>
              <w:left w:val="single" w:sz="4" w:space="0" w:color="auto"/>
              <w:bottom w:val="single" w:sz="4" w:space="0" w:color="auto"/>
              <w:right w:val="single" w:sz="4" w:space="0" w:color="auto"/>
            </w:tcBorders>
            <w:hideMark/>
          </w:tcPr>
          <w:p w14:paraId="0392553D" w14:textId="77777777" w:rsidR="00D20A89" w:rsidRPr="00D20A89" w:rsidRDefault="00D20A89" w:rsidP="00D20A89">
            <w:pPr>
              <w:jc w:val="both"/>
              <w:rPr>
                <w:sz w:val="22"/>
                <w:lang w:val="en-AU"/>
              </w:rPr>
            </w:pPr>
            <w:r w:rsidRPr="00D20A89">
              <w:rPr>
                <w:sz w:val="22"/>
                <w:lang w:val="en-AU"/>
              </w:rPr>
              <w:t>Diagram Paretto, AHP,</w:t>
            </w:r>
          </w:p>
          <w:p w14:paraId="1FDCCA2C" w14:textId="77777777" w:rsidR="00D20A89" w:rsidRPr="00D20A89" w:rsidRDefault="00D20A89" w:rsidP="00D20A89">
            <w:pPr>
              <w:jc w:val="both"/>
              <w:rPr>
                <w:sz w:val="22"/>
                <w:lang w:val="en-AU"/>
              </w:rPr>
            </w:pPr>
            <w:r w:rsidRPr="00D20A89">
              <w:rPr>
                <w:sz w:val="22"/>
                <w:lang w:val="en-AU"/>
              </w:rPr>
              <w:t>HOR II</w:t>
            </w:r>
          </w:p>
        </w:tc>
        <w:tc>
          <w:tcPr>
            <w:tcW w:w="1467" w:type="dxa"/>
            <w:tcBorders>
              <w:top w:val="single" w:sz="4" w:space="0" w:color="auto"/>
              <w:left w:val="single" w:sz="4" w:space="0" w:color="auto"/>
              <w:bottom w:val="single" w:sz="4" w:space="0" w:color="auto"/>
              <w:right w:val="single" w:sz="4" w:space="0" w:color="auto"/>
            </w:tcBorders>
          </w:tcPr>
          <w:p w14:paraId="7444B89F" w14:textId="77777777" w:rsidR="00D20A89" w:rsidRPr="00D20A89" w:rsidRDefault="00D20A89" w:rsidP="00D20A89">
            <w:pPr>
              <w:jc w:val="both"/>
              <w:rPr>
                <w:sz w:val="22"/>
                <w:lang w:val="en-AU"/>
              </w:rPr>
            </w:pPr>
          </w:p>
        </w:tc>
        <w:tc>
          <w:tcPr>
            <w:tcW w:w="1356" w:type="dxa"/>
            <w:tcBorders>
              <w:top w:val="single" w:sz="4" w:space="0" w:color="auto"/>
              <w:left w:val="single" w:sz="4" w:space="0" w:color="auto"/>
              <w:bottom w:val="single" w:sz="4" w:space="0" w:color="auto"/>
              <w:right w:val="single" w:sz="4" w:space="0" w:color="auto"/>
            </w:tcBorders>
          </w:tcPr>
          <w:p w14:paraId="0B6BA646" w14:textId="77777777" w:rsidR="00D20A89" w:rsidRPr="00D20A89" w:rsidRDefault="00D20A89" w:rsidP="00D20A89">
            <w:pPr>
              <w:jc w:val="both"/>
              <w:rPr>
                <w:sz w:val="22"/>
                <w:lang w:val="en-AU"/>
              </w:rPr>
            </w:pPr>
            <w:r w:rsidRPr="00D20A89">
              <w:rPr>
                <w:sz w:val="22"/>
                <w:lang w:val="en-AU"/>
              </w:rPr>
              <w:t>Data nilai</w:t>
            </w:r>
          </w:p>
          <w:p w14:paraId="3BD67E4E" w14:textId="77777777" w:rsidR="00D20A89" w:rsidRPr="00D20A89" w:rsidRDefault="00D20A89" w:rsidP="00D20A89">
            <w:pPr>
              <w:jc w:val="both"/>
              <w:rPr>
                <w:sz w:val="22"/>
                <w:lang w:val="en-AU"/>
              </w:rPr>
            </w:pPr>
            <w:r w:rsidRPr="00D20A89">
              <w:rPr>
                <w:sz w:val="22"/>
                <w:lang w:val="en-AU"/>
              </w:rPr>
              <w:t>Effectiveness to Difficulty (ETD)</w:t>
            </w:r>
          </w:p>
          <w:p w14:paraId="2EB85CFD" w14:textId="77777777" w:rsidR="00D20A89" w:rsidRPr="00D20A89" w:rsidRDefault="00D20A89" w:rsidP="00D20A89">
            <w:pPr>
              <w:jc w:val="both"/>
              <w:rPr>
                <w:sz w:val="22"/>
                <w:lang w:val="en-AU"/>
              </w:rPr>
            </w:pPr>
          </w:p>
          <w:p w14:paraId="71D429E7" w14:textId="77777777" w:rsidR="00D20A89" w:rsidRPr="00D20A89" w:rsidRDefault="00D20A89" w:rsidP="00D20A89">
            <w:pPr>
              <w:jc w:val="both"/>
              <w:rPr>
                <w:sz w:val="22"/>
                <w:lang w:val="en-AU"/>
              </w:rPr>
            </w:pPr>
          </w:p>
        </w:tc>
        <w:tc>
          <w:tcPr>
            <w:tcW w:w="1197" w:type="dxa"/>
            <w:tcBorders>
              <w:top w:val="single" w:sz="4" w:space="0" w:color="auto"/>
              <w:left w:val="single" w:sz="4" w:space="0" w:color="auto"/>
              <w:bottom w:val="single" w:sz="4" w:space="0" w:color="auto"/>
              <w:right w:val="single" w:sz="4" w:space="0" w:color="auto"/>
            </w:tcBorders>
            <w:hideMark/>
          </w:tcPr>
          <w:p w14:paraId="73587482" w14:textId="77777777" w:rsidR="00D20A89" w:rsidRPr="00D20A89" w:rsidRDefault="00D20A89" w:rsidP="00D20A89">
            <w:pPr>
              <w:jc w:val="both"/>
              <w:rPr>
                <w:sz w:val="22"/>
                <w:lang w:val="en-AU"/>
              </w:rPr>
            </w:pPr>
            <w:r w:rsidRPr="00D20A89">
              <w:rPr>
                <w:sz w:val="22"/>
                <w:lang w:val="en-AU"/>
              </w:rPr>
              <w:t>Aksi mitigasi</w:t>
            </w:r>
          </w:p>
          <w:p w14:paraId="237A8727" w14:textId="77777777" w:rsidR="00D20A89" w:rsidRPr="00D20A89" w:rsidRDefault="00D20A89" w:rsidP="00D20A89">
            <w:pPr>
              <w:jc w:val="both"/>
              <w:rPr>
                <w:sz w:val="22"/>
                <w:lang w:val="en-AU"/>
              </w:rPr>
            </w:pPr>
            <w:r w:rsidRPr="00D20A89">
              <w:rPr>
                <w:sz w:val="22"/>
                <w:lang w:val="en-AU"/>
              </w:rPr>
              <w:t>dan prioritas</w:t>
            </w:r>
          </w:p>
          <w:p w14:paraId="2E9FBA9C" w14:textId="77777777" w:rsidR="00D20A89" w:rsidRPr="00D20A89" w:rsidRDefault="00D20A89" w:rsidP="00D20A89">
            <w:pPr>
              <w:jc w:val="both"/>
              <w:rPr>
                <w:sz w:val="22"/>
                <w:lang w:val="en-AU"/>
              </w:rPr>
            </w:pPr>
            <w:r w:rsidRPr="00D20A89">
              <w:rPr>
                <w:sz w:val="22"/>
                <w:lang w:val="en-AU"/>
              </w:rPr>
              <w:t>strategi mitigasi</w:t>
            </w:r>
          </w:p>
        </w:tc>
      </w:tr>
    </w:tbl>
    <w:p w14:paraId="257B30F2" w14:textId="77777777" w:rsidR="00D20A89" w:rsidRPr="00D20A89" w:rsidRDefault="00D20A89" w:rsidP="00D20A89">
      <w:pPr>
        <w:spacing w:line="240" w:lineRule="auto"/>
        <w:jc w:val="both"/>
        <w:rPr>
          <w:sz w:val="22"/>
          <w:lang w:val="id-ID"/>
        </w:rPr>
        <w:sectPr w:rsidR="00D20A89" w:rsidRPr="00D20A89" w:rsidSect="00D20A89">
          <w:type w:val="continuous"/>
          <w:pgSz w:w="11907" w:h="16840"/>
          <w:pgMar w:top="1701" w:right="1134" w:bottom="1134" w:left="1418" w:header="1134" w:footer="737" w:gutter="0"/>
          <w:pgNumType w:start="1"/>
          <w:cols w:space="720"/>
        </w:sectPr>
      </w:pPr>
    </w:p>
    <w:p w14:paraId="72C56114" w14:textId="1BFE3032" w:rsidR="004A5B8B" w:rsidRPr="002D22A2" w:rsidRDefault="004A5B8B" w:rsidP="00D20A89">
      <w:pPr>
        <w:spacing w:line="240" w:lineRule="auto"/>
        <w:jc w:val="both"/>
        <w:rPr>
          <w:sz w:val="22"/>
          <w:lang w:val="id-ID"/>
        </w:rPr>
      </w:pPr>
    </w:p>
    <w:p w14:paraId="00CC9966" w14:textId="77777777" w:rsidR="009B76D6" w:rsidRPr="002D22A2" w:rsidRDefault="009B76D6" w:rsidP="009B76D6">
      <w:pPr>
        <w:spacing w:line="240" w:lineRule="auto"/>
        <w:rPr>
          <w:b/>
          <w:bCs/>
          <w:sz w:val="22"/>
          <w:lang w:val="id-ID"/>
        </w:rPr>
      </w:pPr>
      <w:r w:rsidRPr="002D22A2">
        <w:rPr>
          <w:b/>
          <w:bCs/>
          <w:sz w:val="22"/>
          <w:lang w:val="id-ID"/>
        </w:rPr>
        <w:t>4. HASIL DAN PEMBAHASAN</w:t>
      </w:r>
    </w:p>
    <w:p w14:paraId="2EE227D4" w14:textId="616959CA" w:rsidR="00D20A89" w:rsidRPr="00D20A89" w:rsidRDefault="00D20A89" w:rsidP="00D20A89">
      <w:pPr>
        <w:pStyle w:val="ListParagraph"/>
        <w:numPr>
          <w:ilvl w:val="1"/>
          <w:numId w:val="8"/>
        </w:numPr>
        <w:spacing w:line="240" w:lineRule="auto"/>
        <w:jc w:val="both"/>
        <w:rPr>
          <w:b/>
          <w:bCs/>
          <w:sz w:val="22"/>
        </w:rPr>
      </w:pPr>
      <w:r w:rsidRPr="00D20A89">
        <w:rPr>
          <w:b/>
          <w:bCs/>
          <w:sz w:val="22"/>
        </w:rPr>
        <w:t xml:space="preserve">Tahap Identifikasi Risiko </w:t>
      </w:r>
    </w:p>
    <w:p w14:paraId="351EC5E2" w14:textId="77777777" w:rsidR="00D20A89" w:rsidRPr="00D20A89" w:rsidRDefault="00D20A89" w:rsidP="00D20A89">
      <w:pPr>
        <w:spacing w:line="240" w:lineRule="auto"/>
        <w:ind w:firstLine="360"/>
        <w:jc w:val="both"/>
        <w:rPr>
          <w:bCs/>
          <w:sz w:val="22"/>
          <w:lang w:val="en-ID"/>
        </w:rPr>
      </w:pPr>
      <w:r w:rsidRPr="00D20A89">
        <w:rPr>
          <w:bCs/>
          <w:sz w:val="22"/>
          <w:lang w:val="en-ID"/>
        </w:rPr>
        <w:t xml:space="preserve">Tahap awal ini dilakukan pemetaan aktivitas rantai pasok. Alur rantai pasok diawali dari </w:t>
      </w:r>
      <w:r w:rsidRPr="00D20A89">
        <w:rPr>
          <w:bCs/>
          <w:i/>
          <w:sz w:val="22"/>
          <w:lang w:val="en-ID"/>
        </w:rPr>
        <w:t>order</w:t>
      </w:r>
      <w:r w:rsidRPr="00D20A89">
        <w:rPr>
          <w:bCs/>
          <w:sz w:val="22"/>
          <w:lang w:val="en-ID"/>
        </w:rPr>
        <w:t xml:space="preserve"> yang dilakukan oleh penyalur maupun pedagang. Setelah </w:t>
      </w:r>
      <w:r w:rsidRPr="00D20A89">
        <w:rPr>
          <w:bCs/>
          <w:i/>
          <w:sz w:val="22"/>
          <w:lang w:val="en-ID"/>
        </w:rPr>
        <w:t xml:space="preserve">order </w:t>
      </w:r>
      <w:r w:rsidRPr="00D20A89">
        <w:rPr>
          <w:bCs/>
          <w:sz w:val="22"/>
          <w:lang w:val="en-ID"/>
        </w:rPr>
        <w:t xml:space="preserve">diterima, bagian pesediaan melakukan pengecekan persediaan produk, apabila stok memadai maka </w:t>
      </w:r>
      <w:proofErr w:type="gramStart"/>
      <w:r w:rsidRPr="00D20A89">
        <w:rPr>
          <w:bCs/>
          <w:sz w:val="22"/>
          <w:lang w:val="en-ID"/>
        </w:rPr>
        <w:t>akan</w:t>
      </w:r>
      <w:proofErr w:type="gramEnd"/>
      <w:r w:rsidRPr="00D20A89">
        <w:rPr>
          <w:bCs/>
          <w:sz w:val="22"/>
          <w:lang w:val="en-ID"/>
        </w:rPr>
        <w:t xml:space="preserve"> langsung dikirimkan pada pemesan. Namun bila stok kurang memadai, maka </w:t>
      </w:r>
      <w:proofErr w:type="gramStart"/>
      <w:r w:rsidRPr="00D20A89">
        <w:rPr>
          <w:bCs/>
          <w:sz w:val="22"/>
          <w:lang w:val="en-ID"/>
        </w:rPr>
        <w:t>akan</w:t>
      </w:r>
      <w:proofErr w:type="gramEnd"/>
      <w:r w:rsidRPr="00D20A89">
        <w:rPr>
          <w:bCs/>
          <w:sz w:val="22"/>
          <w:lang w:val="en-ID"/>
        </w:rPr>
        <w:t xml:space="preserve"> dilakukan pembaruan pada perencanaan persediaan yang akan digunakan untuk proses produksi periode selanjutnya. Pada awal proses produksi, setelah bibit telah diterima, maka dilakukan inspeksi. Apabila bibit yang diterima memenuhi kualitas, maka selanjutnya masuk pada tahapan produksi. Tapi, jika terjadi </w:t>
      </w:r>
      <w:r w:rsidRPr="00D20A89">
        <w:rPr>
          <w:bCs/>
          <w:i/>
          <w:iCs/>
          <w:sz w:val="22"/>
          <w:lang w:val="en-ID"/>
        </w:rPr>
        <w:t xml:space="preserve">reject </w:t>
      </w:r>
      <w:r w:rsidRPr="00D20A89">
        <w:rPr>
          <w:bCs/>
          <w:sz w:val="22"/>
          <w:lang w:val="en-ID"/>
        </w:rPr>
        <w:t xml:space="preserve">pada bibit yang diterima, maka </w:t>
      </w:r>
      <w:proofErr w:type="gramStart"/>
      <w:r w:rsidRPr="00D20A89">
        <w:rPr>
          <w:bCs/>
          <w:sz w:val="22"/>
          <w:lang w:val="en-ID"/>
        </w:rPr>
        <w:t>akan</w:t>
      </w:r>
      <w:proofErr w:type="gramEnd"/>
      <w:r w:rsidRPr="00D20A89">
        <w:rPr>
          <w:bCs/>
          <w:sz w:val="22"/>
          <w:lang w:val="en-ID"/>
        </w:rPr>
        <w:t xml:space="preserve"> dikembalikan (</w:t>
      </w:r>
      <w:r w:rsidRPr="00D20A89">
        <w:rPr>
          <w:bCs/>
          <w:i/>
          <w:iCs/>
          <w:sz w:val="22"/>
          <w:lang w:val="en-ID"/>
        </w:rPr>
        <w:t>return</w:t>
      </w:r>
      <w:r w:rsidRPr="00D20A89">
        <w:rPr>
          <w:bCs/>
          <w:sz w:val="22"/>
          <w:lang w:val="en-ID"/>
        </w:rPr>
        <w:t xml:space="preserve">) ke </w:t>
      </w:r>
      <w:r w:rsidRPr="00D20A89">
        <w:rPr>
          <w:bCs/>
          <w:i/>
          <w:iCs/>
          <w:sz w:val="22"/>
          <w:lang w:val="en-ID"/>
        </w:rPr>
        <w:t xml:space="preserve">supplier. </w:t>
      </w:r>
      <w:r w:rsidRPr="00D20A89">
        <w:rPr>
          <w:bCs/>
          <w:sz w:val="22"/>
          <w:lang w:val="en-ID"/>
        </w:rPr>
        <w:t xml:space="preserve">Bibit yang telah melalui proses produksi dan telah menjadi produk selanjutnya dilakukan proses inspeksi dan apabila memenuhi kualitas maka </w:t>
      </w:r>
      <w:proofErr w:type="gramStart"/>
      <w:r w:rsidRPr="00D20A89">
        <w:rPr>
          <w:bCs/>
          <w:sz w:val="22"/>
          <w:lang w:val="en-ID"/>
        </w:rPr>
        <w:t>akan</w:t>
      </w:r>
      <w:proofErr w:type="gramEnd"/>
      <w:r w:rsidRPr="00D20A89">
        <w:rPr>
          <w:bCs/>
          <w:sz w:val="22"/>
          <w:lang w:val="en-ID"/>
        </w:rPr>
        <w:t xml:space="preserve"> dilakukan proses penjemuran selama 10 hari lalu dilakukan inspeksi produk akhir. Setelah produk tersebut telah memenuhi spesifikasi dan kualitas yang telah ditetapkan maka produk tersebut dikirim ke kepada pemesan</w:t>
      </w:r>
      <w:r w:rsidRPr="00D20A89">
        <w:rPr>
          <w:bCs/>
          <w:i/>
          <w:iCs/>
          <w:sz w:val="22"/>
          <w:lang w:val="en-ID"/>
        </w:rPr>
        <w:t>.</w:t>
      </w:r>
    </w:p>
    <w:p w14:paraId="4C1D4D4F" w14:textId="77777777" w:rsidR="00D20A89" w:rsidRDefault="00D20A89" w:rsidP="00D20A89">
      <w:pPr>
        <w:spacing w:line="240" w:lineRule="auto"/>
        <w:ind w:firstLine="360"/>
        <w:jc w:val="both"/>
        <w:rPr>
          <w:bCs/>
          <w:sz w:val="22"/>
          <w:lang w:val="en-ID"/>
        </w:rPr>
      </w:pPr>
      <w:r w:rsidRPr="00D20A89">
        <w:rPr>
          <w:bCs/>
          <w:sz w:val="22"/>
          <w:lang w:val="en-ID"/>
        </w:rPr>
        <w:t xml:space="preserve">Setelah melakukan pemetaan aktivitas rantai pasok, selajutnya dilakukan penentuan </w:t>
      </w:r>
      <w:r w:rsidRPr="00D20A89">
        <w:rPr>
          <w:bCs/>
          <w:sz w:val="22"/>
          <w:lang w:val="en-ID"/>
        </w:rPr>
        <w:t xml:space="preserve">identifikasi risiko dan menentukan sub-proses rantai pasok dengan berbasis pada dimensi SCOR yang terdiri dari 5 proses inti yaitu plan, source, make, deliver dan return. Tahap identifikasi risiko ini dilakukan dengan </w:t>
      </w:r>
      <w:proofErr w:type="gramStart"/>
      <w:r w:rsidRPr="00D20A89">
        <w:rPr>
          <w:bCs/>
          <w:sz w:val="22"/>
          <w:lang w:val="en-ID"/>
        </w:rPr>
        <w:t>cara</w:t>
      </w:r>
      <w:proofErr w:type="gramEnd"/>
      <w:r w:rsidRPr="00D20A89">
        <w:rPr>
          <w:bCs/>
          <w:sz w:val="22"/>
          <w:lang w:val="en-ID"/>
        </w:rPr>
        <w:t xml:space="preserve"> observasi langsung berdasarkan data atau informasi historis, wawancara, dan brainstorming dengan fihak kelompok tani. Hal ini dilakukan untuk mengetahui risiko yang terdapat pada rantai pasok perusahaan beserta sebabnya. Peneliti </w:t>
      </w:r>
    </w:p>
    <w:p w14:paraId="789A4F15" w14:textId="74C1DBE1" w:rsidR="00D20A89" w:rsidRPr="00D20A89" w:rsidRDefault="00D20A89" w:rsidP="00D20A89">
      <w:pPr>
        <w:spacing w:line="240" w:lineRule="auto"/>
        <w:ind w:firstLine="360"/>
        <w:jc w:val="both"/>
        <w:rPr>
          <w:bCs/>
          <w:sz w:val="22"/>
          <w:lang w:val="en-ID"/>
        </w:rPr>
      </w:pPr>
      <w:proofErr w:type="gramStart"/>
      <w:r w:rsidRPr="00D20A89">
        <w:rPr>
          <w:bCs/>
          <w:sz w:val="22"/>
          <w:lang w:val="en-ID"/>
        </w:rPr>
        <w:t>menggunakan</w:t>
      </w:r>
      <w:proofErr w:type="gramEnd"/>
      <w:r w:rsidRPr="00D20A89">
        <w:rPr>
          <w:bCs/>
          <w:sz w:val="22"/>
          <w:lang w:val="en-ID"/>
        </w:rPr>
        <w:t xml:space="preserve"> metode Failure Mode and Effect Analysis (FMEA) untuk mengidentifikasi risiko. Dengan menggunakan FMEA, risiko </w:t>
      </w:r>
      <w:proofErr w:type="gramStart"/>
      <w:r w:rsidRPr="00D20A89">
        <w:rPr>
          <w:bCs/>
          <w:sz w:val="22"/>
          <w:lang w:val="en-ID"/>
        </w:rPr>
        <w:t>akan</w:t>
      </w:r>
      <w:proofErr w:type="gramEnd"/>
      <w:r w:rsidRPr="00D20A89">
        <w:rPr>
          <w:bCs/>
          <w:sz w:val="22"/>
          <w:lang w:val="en-ID"/>
        </w:rPr>
        <w:t xml:space="preserve"> lebih mudah teridentifikasi karena potensi kegagalan dapat diketahui secara runut. Sesuai dengan ruang lingkup penelitian, proses yang diteliti terbatas pada proses persiapan produksi, proses pengadaan dan proses pelaksanaan produksi. FMEA yang digunakan untuk mengidentifikasi risiko terdiri dari 4 kolom, yaitu Nama Proses, Potensi Kegagalan, Penyebab, dan Efek.</w:t>
      </w:r>
    </w:p>
    <w:p w14:paraId="52D8CC9E" w14:textId="03FF2F38" w:rsidR="00D20A89" w:rsidRPr="00D20A89" w:rsidRDefault="00D20A89" w:rsidP="00D20A89">
      <w:pPr>
        <w:pStyle w:val="ListParagraph"/>
        <w:numPr>
          <w:ilvl w:val="1"/>
          <w:numId w:val="8"/>
        </w:numPr>
        <w:spacing w:line="240" w:lineRule="auto"/>
        <w:jc w:val="both"/>
        <w:rPr>
          <w:b/>
          <w:bCs/>
          <w:sz w:val="22"/>
          <w:lang w:val="en-ID"/>
        </w:rPr>
      </w:pPr>
      <w:r w:rsidRPr="00D20A89">
        <w:rPr>
          <w:b/>
          <w:bCs/>
          <w:sz w:val="22"/>
          <w:lang w:val="en-ID"/>
        </w:rPr>
        <w:t>Tahap Analisis Risiko</w:t>
      </w:r>
    </w:p>
    <w:p w14:paraId="622EAA21" w14:textId="77777777" w:rsidR="00D20A89" w:rsidRPr="00D20A89" w:rsidRDefault="00D20A89" w:rsidP="00D20A89">
      <w:pPr>
        <w:spacing w:line="240" w:lineRule="auto"/>
        <w:ind w:firstLine="360"/>
        <w:jc w:val="both"/>
        <w:rPr>
          <w:bCs/>
          <w:sz w:val="22"/>
          <w:lang w:val="en-ID"/>
        </w:rPr>
      </w:pPr>
      <w:r w:rsidRPr="00D20A89">
        <w:rPr>
          <w:bCs/>
          <w:sz w:val="22"/>
          <w:lang w:val="en-ID"/>
        </w:rPr>
        <w:t>Identifikasi kemungkinan terjadinya (</w:t>
      </w:r>
      <w:r w:rsidRPr="00D20A89">
        <w:rPr>
          <w:bCs/>
          <w:i/>
          <w:iCs/>
          <w:sz w:val="22"/>
          <w:lang w:val="en-ID"/>
        </w:rPr>
        <w:t>occurrence</w:t>
      </w:r>
      <w:r w:rsidRPr="00D20A89">
        <w:rPr>
          <w:bCs/>
          <w:sz w:val="22"/>
          <w:lang w:val="en-ID"/>
        </w:rPr>
        <w:t xml:space="preserve">) suatu sumber risiko menyatakan tingkat peluang frekuensi kemunculan suatu sumber risiko sehingga mengakibatkan timbulnya satu atau beberapa risiko yang dapat menyebabkan gangguan pada proses bisnis. Skala yang digunakan dalam penentuan peluang </w:t>
      </w:r>
      <w:r w:rsidRPr="00D20A89">
        <w:rPr>
          <w:bCs/>
          <w:sz w:val="22"/>
          <w:lang w:val="en-ID"/>
        </w:rPr>
        <w:lastRenderedPageBreak/>
        <w:t>kemunculan suatu sumber risiko (</w:t>
      </w:r>
      <w:r w:rsidRPr="00D20A89">
        <w:rPr>
          <w:bCs/>
          <w:i/>
          <w:iCs/>
          <w:sz w:val="22"/>
          <w:lang w:val="en-ID"/>
        </w:rPr>
        <w:t>risk agent</w:t>
      </w:r>
      <w:r w:rsidRPr="00D20A89">
        <w:rPr>
          <w:bCs/>
          <w:sz w:val="22"/>
          <w:lang w:val="en-ID"/>
        </w:rPr>
        <w:t xml:space="preserve">) menggunakan tingkat skala 1-10, dengan arti bahwa nilai 1 (hampir tidak pernah terjadi) sampai dengan nilai 10 (hampir pasti terjadi) suatu kejadian risiko (Shahin, 2004). Rumus yang digunakan pada komponen risiko </w:t>
      </w:r>
      <w:r w:rsidRPr="00D20A89">
        <w:rPr>
          <w:bCs/>
          <w:i/>
          <w:sz w:val="22"/>
          <w:lang w:val="en-ID"/>
        </w:rPr>
        <w:t>occurrence</w:t>
      </w:r>
      <w:r w:rsidRPr="00D20A89">
        <w:rPr>
          <w:bCs/>
          <w:sz w:val="22"/>
          <w:lang w:val="en-ID"/>
        </w:rPr>
        <w:t xml:space="preserve"> (Geraldine et al. 2007) adalah:</w:t>
      </w:r>
    </w:p>
    <w:p w14:paraId="3341A0EF" w14:textId="1D55FDC7" w:rsidR="00D20A89" w:rsidRPr="00D20A89" w:rsidRDefault="00D20A89" w:rsidP="00D20A89">
      <w:pPr>
        <w:spacing w:line="240" w:lineRule="auto"/>
        <w:jc w:val="both"/>
        <w:rPr>
          <w:bCs/>
          <w:sz w:val="22"/>
          <w:lang w:val="en-ID"/>
        </w:rPr>
      </w:pPr>
      <w:proofErr w:type="gramStart"/>
      <w:r w:rsidRPr="00D20A89">
        <w:rPr>
          <w:bCs/>
          <w:sz w:val="22"/>
          <w:lang w:val="en-ID"/>
        </w:rPr>
        <w:t>O</w:t>
      </w:r>
      <w:r w:rsidRPr="00D20A89">
        <w:rPr>
          <w:bCs/>
          <w:sz w:val="22"/>
          <w:vertAlign w:val="subscript"/>
          <w:lang w:val="en-ID"/>
        </w:rPr>
        <w:t>j</w:t>
      </w:r>
      <w:proofErr w:type="gramEnd"/>
      <w:r w:rsidRPr="00D20A89">
        <w:rPr>
          <w:bCs/>
          <w:sz w:val="22"/>
          <w:lang w:val="en-ID"/>
        </w:rPr>
        <w:t xml:space="preserve"> = </w:t>
      </w:r>
      <m:oMath>
        <m:f>
          <m:fPr>
            <m:ctrlPr>
              <w:rPr>
                <w:rFonts w:ascii="Cambria Math" w:hAnsi="Cambria Math"/>
                <w:bCs/>
                <w:i/>
                <w:sz w:val="22"/>
                <w:lang w:val="en-ID"/>
              </w:rPr>
            </m:ctrlPr>
          </m:fPr>
          <m:num>
            <m:r>
              <m:rPr>
                <m:sty m:val="p"/>
              </m:rPr>
              <w:rPr>
                <w:rFonts w:ascii="Cambria Math" w:hAnsi="Cambria Math"/>
                <w:sz w:val="22"/>
                <w:lang w:val="en-ID"/>
              </w:rPr>
              <m:t>(</m:t>
            </m:r>
            <m:sSub>
              <m:sSubPr>
                <m:ctrlPr>
                  <w:rPr>
                    <w:rFonts w:ascii="Cambria Math" w:hAnsi="Cambria Math"/>
                    <w:bCs/>
                    <w:i/>
                    <w:sz w:val="22"/>
                    <w:vertAlign w:val="subscript"/>
                    <w:lang w:val="en-ID"/>
                  </w:rPr>
                </m:ctrlPr>
              </m:sSubPr>
              <m:e>
                <m:r>
                  <m:rPr>
                    <m:sty m:val="p"/>
                  </m:rPr>
                  <w:rPr>
                    <w:rFonts w:ascii="Cambria Math" w:hAnsi="Cambria Math"/>
                    <w:sz w:val="22"/>
                    <w:vertAlign w:val="subscript"/>
                    <w:lang w:val="en-ID"/>
                  </w:rPr>
                  <m:t>O</m:t>
                </m:r>
              </m:e>
              <m:sub>
                <m:r>
                  <w:rPr>
                    <w:rFonts w:ascii="Cambria Math" w:hAnsi="Cambria Math"/>
                    <w:sz w:val="22"/>
                    <w:vertAlign w:val="subscript"/>
                    <w:lang w:val="en-ID"/>
                  </w:rPr>
                  <m:t>j1</m:t>
                </m:r>
              </m:sub>
            </m:sSub>
            <m:r>
              <w:rPr>
                <w:rFonts w:ascii="Cambria Math" w:hAnsi="Cambria Math"/>
                <w:sz w:val="22"/>
                <w:vertAlign w:val="subscript"/>
                <w:lang w:val="en-ID"/>
              </w:rPr>
              <m:t xml:space="preserve">x </m:t>
            </m:r>
            <m:sSub>
              <m:sSubPr>
                <m:ctrlPr>
                  <w:rPr>
                    <w:rFonts w:ascii="Cambria Math" w:hAnsi="Cambria Math"/>
                    <w:bCs/>
                    <w:i/>
                    <w:sz w:val="22"/>
                    <w:vertAlign w:val="subscript"/>
                    <w:lang w:val="en-ID"/>
                  </w:rPr>
                </m:ctrlPr>
              </m:sSubPr>
              <m:e>
                <m:r>
                  <m:rPr>
                    <m:sty m:val="p"/>
                  </m:rPr>
                  <w:rPr>
                    <w:rFonts w:ascii="Cambria Math" w:hAnsi="Cambria Math"/>
                    <w:sz w:val="22"/>
                    <w:vertAlign w:val="subscript"/>
                    <w:lang w:val="en-ID"/>
                  </w:rPr>
                  <m:t>O</m:t>
                </m:r>
              </m:e>
              <m:sub>
                <m:r>
                  <w:rPr>
                    <w:rFonts w:ascii="Cambria Math" w:hAnsi="Cambria Math"/>
                    <w:sz w:val="22"/>
                    <w:vertAlign w:val="subscript"/>
                    <w:lang w:val="en-ID"/>
                  </w:rPr>
                  <m:t>j2</m:t>
                </m:r>
              </m:sub>
            </m:sSub>
            <m:r>
              <w:rPr>
                <w:rFonts w:ascii="Cambria Math" w:hAnsi="Cambria Math"/>
                <w:sz w:val="22"/>
                <w:vertAlign w:val="subscript"/>
                <w:lang w:val="en-ID"/>
              </w:rPr>
              <m:t xml:space="preserve"> x </m:t>
            </m:r>
            <m:sSub>
              <m:sSubPr>
                <m:ctrlPr>
                  <w:rPr>
                    <w:rFonts w:ascii="Cambria Math" w:hAnsi="Cambria Math"/>
                    <w:bCs/>
                    <w:i/>
                    <w:sz w:val="22"/>
                    <w:vertAlign w:val="subscript"/>
                    <w:lang w:val="en-ID"/>
                  </w:rPr>
                </m:ctrlPr>
              </m:sSubPr>
              <m:e>
                <m:r>
                  <m:rPr>
                    <m:sty m:val="p"/>
                  </m:rPr>
                  <w:rPr>
                    <w:rFonts w:ascii="Cambria Math" w:hAnsi="Cambria Math"/>
                    <w:sz w:val="22"/>
                    <w:vertAlign w:val="subscript"/>
                    <w:lang w:val="en-ID"/>
                  </w:rPr>
                  <m:t>O</m:t>
                </m:r>
              </m:e>
              <m:sub>
                <m:r>
                  <w:rPr>
                    <w:rFonts w:ascii="Cambria Math" w:hAnsi="Cambria Math"/>
                    <w:sz w:val="22"/>
                    <w:vertAlign w:val="subscript"/>
                    <w:lang w:val="en-ID"/>
                  </w:rPr>
                  <m:t>j3</m:t>
                </m:r>
              </m:sub>
            </m:sSub>
            <m:r>
              <w:rPr>
                <w:rFonts w:ascii="Cambria Math" w:hAnsi="Cambria Math"/>
                <w:sz w:val="22"/>
                <w:vertAlign w:val="subscript"/>
                <w:lang w:val="en-ID"/>
              </w:rPr>
              <m:t xml:space="preserve">…..  x </m:t>
            </m:r>
            <m:sSub>
              <m:sSubPr>
                <m:ctrlPr>
                  <w:rPr>
                    <w:rFonts w:ascii="Cambria Math" w:hAnsi="Cambria Math"/>
                    <w:bCs/>
                    <w:i/>
                    <w:sz w:val="22"/>
                    <w:vertAlign w:val="subscript"/>
                    <w:lang w:val="en-ID"/>
                  </w:rPr>
                </m:ctrlPr>
              </m:sSubPr>
              <m:e>
                <m:r>
                  <m:rPr>
                    <m:sty m:val="p"/>
                  </m:rPr>
                  <w:rPr>
                    <w:rFonts w:ascii="Cambria Math" w:hAnsi="Cambria Math"/>
                    <w:sz w:val="22"/>
                    <w:vertAlign w:val="subscript"/>
                    <w:lang w:val="en-ID"/>
                  </w:rPr>
                  <m:t>O</m:t>
                </m:r>
              </m:e>
              <m:sub>
                <m:r>
                  <w:rPr>
                    <w:rFonts w:ascii="Cambria Math" w:hAnsi="Cambria Math"/>
                    <w:sz w:val="22"/>
                    <w:vertAlign w:val="subscript"/>
                    <w:lang w:val="en-ID"/>
                  </w:rPr>
                  <m:t>jk</m:t>
                </m:r>
              </m:sub>
            </m:sSub>
          </m:num>
          <m:den>
            <m:r>
              <w:rPr>
                <w:rFonts w:ascii="Cambria Math" w:hAnsi="Cambria Math"/>
                <w:sz w:val="22"/>
                <w:lang w:val="en-ID"/>
              </w:rPr>
              <m:t>k</m:t>
            </m:r>
          </m:den>
        </m:f>
      </m:oMath>
      <w:r w:rsidRPr="00D20A89">
        <w:rPr>
          <w:bCs/>
          <w:sz w:val="22"/>
          <w:lang w:val="en-ID"/>
        </w:rPr>
        <w:t xml:space="preserve"> </w:t>
      </w:r>
      <w:bookmarkStart w:id="0" w:name="_Hlk481618842"/>
      <w:r w:rsidRPr="00D20A89">
        <w:rPr>
          <w:bCs/>
          <w:sz w:val="22"/>
          <w:lang w:val="en-ID"/>
        </w:rPr>
        <w:t>…....……  (3.1.)</w:t>
      </w:r>
    </w:p>
    <w:bookmarkEnd w:id="0"/>
    <w:p w14:paraId="77C7CEB5" w14:textId="77777777" w:rsidR="00D20A89" w:rsidRPr="00D20A89" w:rsidRDefault="00D20A89" w:rsidP="00D20A89">
      <w:pPr>
        <w:spacing w:line="240" w:lineRule="auto"/>
        <w:jc w:val="both"/>
        <w:rPr>
          <w:bCs/>
          <w:sz w:val="22"/>
          <w:lang w:val="en-ID"/>
        </w:rPr>
      </w:pPr>
      <w:r w:rsidRPr="00D20A89">
        <w:rPr>
          <w:bCs/>
          <w:sz w:val="22"/>
          <w:lang w:val="en-ID"/>
        </w:rPr>
        <w:t>Keterangan:</w:t>
      </w:r>
    </w:p>
    <w:p w14:paraId="4751E672" w14:textId="73568A7F" w:rsidR="00D20A89" w:rsidRPr="00D20A89" w:rsidRDefault="00D20A89" w:rsidP="005415B3">
      <w:pPr>
        <w:spacing w:line="240" w:lineRule="auto"/>
        <w:jc w:val="both"/>
        <w:rPr>
          <w:bCs/>
          <w:sz w:val="22"/>
          <w:lang w:val="en-ID"/>
        </w:rPr>
      </w:pPr>
      <w:proofErr w:type="gramStart"/>
      <w:r w:rsidRPr="00D20A89">
        <w:rPr>
          <w:bCs/>
          <w:sz w:val="22"/>
          <w:lang w:val="en-ID"/>
        </w:rPr>
        <w:t>O</w:t>
      </w:r>
      <w:r w:rsidRPr="00D20A89">
        <w:rPr>
          <w:bCs/>
          <w:sz w:val="22"/>
          <w:vertAlign w:val="subscript"/>
          <w:lang w:val="en-ID"/>
        </w:rPr>
        <w:t>j</w:t>
      </w:r>
      <w:proofErr w:type="gramEnd"/>
      <w:r w:rsidR="005415B3">
        <w:rPr>
          <w:bCs/>
          <w:sz w:val="22"/>
          <w:vertAlign w:val="subscript"/>
          <w:lang w:val="en-ID"/>
        </w:rPr>
        <w:t xml:space="preserve"> </w:t>
      </w:r>
      <w:r w:rsidRPr="00D20A89">
        <w:rPr>
          <w:bCs/>
          <w:sz w:val="22"/>
          <w:lang w:val="en-ID"/>
        </w:rPr>
        <w:t xml:space="preserve">= </w:t>
      </w:r>
      <w:bookmarkStart w:id="1" w:name="_Hlk481618964"/>
      <w:r w:rsidRPr="00D20A89">
        <w:rPr>
          <w:bCs/>
          <w:sz w:val="22"/>
          <w:lang w:val="en-ID"/>
        </w:rPr>
        <w:t xml:space="preserve">frekuensi kemungkinan terjadinya </w:t>
      </w:r>
    </w:p>
    <w:p w14:paraId="2C028473" w14:textId="77777777" w:rsidR="00D20A89" w:rsidRPr="00D20A89" w:rsidRDefault="00D20A89" w:rsidP="00D20A89">
      <w:pPr>
        <w:spacing w:line="240" w:lineRule="auto"/>
        <w:jc w:val="both"/>
        <w:rPr>
          <w:bCs/>
          <w:sz w:val="22"/>
          <w:lang w:val="en-ID"/>
        </w:rPr>
      </w:pPr>
      <w:r w:rsidRPr="00D20A89">
        <w:rPr>
          <w:bCs/>
          <w:sz w:val="22"/>
          <w:lang w:val="en-ID"/>
        </w:rPr>
        <w:t xml:space="preserve">        </w:t>
      </w:r>
      <w:proofErr w:type="gramStart"/>
      <w:r w:rsidRPr="00D20A89">
        <w:rPr>
          <w:bCs/>
          <w:sz w:val="22"/>
          <w:lang w:val="en-ID"/>
        </w:rPr>
        <w:t>risiko</w:t>
      </w:r>
      <w:bookmarkEnd w:id="1"/>
      <w:proofErr w:type="gramEnd"/>
    </w:p>
    <w:p w14:paraId="779FEBDE" w14:textId="733606C2" w:rsidR="00D20A89" w:rsidRPr="00D20A89" w:rsidRDefault="00D20A89" w:rsidP="005415B3">
      <w:pPr>
        <w:spacing w:line="240" w:lineRule="auto"/>
        <w:jc w:val="both"/>
        <w:rPr>
          <w:bCs/>
          <w:sz w:val="22"/>
          <w:lang w:val="en-ID"/>
        </w:rPr>
      </w:pPr>
      <w:r w:rsidRPr="00D20A89">
        <w:rPr>
          <w:bCs/>
          <w:sz w:val="22"/>
          <w:lang w:val="en-ID"/>
        </w:rPr>
        <w:t>j</w:t>
      </w:r>
      <w:r w:rsidR="005415B3">
        <w:rPr>
          <w:bCs/>
          <w:sz w:val="22"/>
          <w:lang w:val="en-ID"/>
        </w:rPr>
        <w:t xml:space="preserve"> </w:t>
      </w:r>
      <w:r w:rsidRPr="00D20A89">
        <w:rPr>
          <w:bCs/>
          <w:sz w:val="22"/>
          <w:lang w:val="en-ID"/>
        </w:rPr>
        <w:t xml:space="preserve">= 1, 2, </w:t>
      </w:r>
      <w:proofErr w:type="gramStart"/>
      <w:r w:rsidRPr="00D20A89">
        <w:rPr>
          <w:bCs/>
          <w:sz w:val="22"/>
          <w:lang w:val="en-ID"/>
        </w:rPr>
        <w:t>3, …..n</w:t>
      </w:r>
      <w:proofErr w:type="gramEnd"/>
    </w:p>
    <w:p w14:paraId="4D28976A" w14:textId="1BC56625" w:rsidR="00D20A89" w:rsidRPr="00D20A89" w:rsidRDefault="00D20A89" w:rsidP="005415B3">
      <w:pPr>
        <w:spacing w:line="240" w:lineRule="auto"/>
        <w:jc w:val="both"/>
        <w:rPr>
          <w:bCs/>
          <w:sz w:val="22"/>
          <w:lang w:val="en-ID"/>
        </w:rPr>
      </w:pPr>
      <w:r w:rsidRPr="00D20A89">
        <w:rPr>
          <w:bCs/>
          <w:sz w:val="22"/>
          <w:lang w:val="en-ID"/>
        </w:rPr>
        <w:t>k</w:t>
      </w:r>
      <w:r w:rsidR="005415B3">
        <w:rPr>
          <w:bCs/>
          <w:sz w:val="22"/>
          <w:lang w:val="en-ID"/>
        </w:rPr>
        <w:t xml:space="preserve"> </w:t>
      </w:r>
      <w:r w:rsidRPr="00D20A89">
        <w:rPr>
          <w:bCs/>
          <w:sz w:val="22"/>
          <w:lang w:val="en-ID"/>
        </w:rPr>
        <w:t>= jumlah pakar</w:t>
      </w:r>
    </w:p>
    <w:p w14:paraId="29458969" w14:textId="07951D60" w:rsidR="00D20A89" w:rsidRDefault="00D20A89" w:rsidP="00D20A89">
      <w:pPr>
        <w:spacing w:line="240" w:lineRule="auto"/>
        <w:jc w:val="both"/>
        <w:rPr>
          <w:bCs/>
          <w:sz w:val="22"/>
          <w:lang w:val="en-ID"/>
        </w:rPr>
      </w:pPr>
      <w:r w:rsidRPr="00D20A89">
        <w:rPr>
          <w:bCs/>
          <w:sz w:val="22"/>
          <w:lang w:val="en-ID"/>
        </w:rPr>
        <w:t xml:space="preserve">Berdasarkan rumus 3.1., didapatkan nilai Kemungkinan terjadinya dampak risiko yang terjadi dari masing-masing kejadian risiko ditunjukkan tabel 3.5. </w:t>
      </w:r>
      <w:proofErr w:type="gramStart"/>
      <w:r w:rsidRPr="00D20A89">
        <w:rPr>
          <w:bCs/>
          <w:sz w:val="22"/>
          <w:lang w:val="en-ID"/>
        </w:rPr>
        <w:t>sebagai</w:t>
      </w:r>
      <w:proofErr w:type="gramEnd"/>
      <w:r w:rsidRPr="00D20A89">
        <w:rPr>
          <w:bCs/>
          <w:sz w:val="22"/>
          <w:lang w:val="en-ID"/>
        </w:rPr>
        <w:t xml:space="preserve"> berikut:</w:t>
      </w:r>
    </w:p>
    <w:p w14:paraId="7B1DDF83" w14:textId="77777777" w:rsidR="00D20A89" w:rsidRDefault="00D20A89" w:rsidP="00D20A89">
      <w:pPr>
        <w:spacing w:line="240" w:lineRule="auto"/>
        <w:jc w:val="both"/>
        <w:rPr>
          <w:b/>
          <w:bCs/>
          <w:sz w:val="22"/>
          <w:lang w:val="en-ID"/>
        </w:rPr>
        <w:sectPr w:rsidR="00D20A89" w:rsidSect="00D20A89">
          <w:type w:val="continuous"/>
          <w:pgSz w:w="11907" w:h="16840"/>
          <w:pgMar w:top="1701" w:right="1134" w:bottom="1134" w:left="1418" w:header="1134" w:footer="737" w:gutter="0"/>
          <w:pgNumType w:start="1"/>
          <w:cols w:num="2" w:space="720"/>
        </w:sectPr>
      </w:pPr>
    </w:p>
    <w:p w14:paraId="7E9494A2" w14:textId="76F08D88" w:rsidR="00D20A89" w:rsidRPr="00D20A89" w:rsidRDefault="00D20A89" w:rsidP="00D20A89">
      <w:pPr>
        <w:spacing w:line="240" w:lineRule="auto"/>
        <w:jc w:val="center"/>
        <w:rPr>
          <w:bCs/>
          <w:sz w:val="22"/>
          <w:lang w:val="en-ID"/>
        </w:rPr>
      </w:pPr>
      <w:r>
        <w:rPr>
          <w:b/>
          <w:bCs/>
          <w:sz w:val="22"/>
          <w:lang w:val="en-ID"/>
        </w:rPr>
        <w:t>Tabel 4</w:t>
      </w:r>
      <w:r w:rsidRPr="00D20A89">
        <w:rPr>
          <w:b/>
          <w:bCs/>
          <w:sz w:val="22"/>
          <w:lang w:val="en-ID"/>
        </w:rPr>
        <w:t>.1. Frekuensi Kemungkinan Terjadinya Risiko</w:t>
      </w:r>
    </w:p>
    <w:p w14:paraId="683F0344" w14:textId="77777777" w:rsidR="00D20A89" w:rsidRDefault="00D20A89" w:rsidP="00D20A89">
      <w:pPr>
        <w:spacing w:line="240" w:lineRule="auto"/>
        <w:jc w:val="both"/>
        <w:rPr>
          <w:b/>
          <w:bCs/>
          <w:sz w:val="22"/>
          <w:lang w:val="en-ID"/>
        </w:rPr>
        <w:sectPr w:rsidR="00D20A89" w:rsidSect="00D20A89">
          <w:type w:val="continuous"/>
          <w:pgSz w:w="11907" w:h="16840"/>
          <w:pgMar w:top="1701" w:right="1134" w:bottom="1134" w:left="1418" w:header="1134" w:footer="737" w:gutter="0"/>
          <w:pgNumType w:start="1"/>
          <w:cols w:space="720"/>
        </w:sectPr>
      </w:pPr>
    </w:p>
    <w:p w14:paraId="6BB55B0E" w14:textId="4414AD09" w:rsidR="00D20A89" w:rsidRDefault="00D20A89" w:rsidP="00D20A89">
      <w:pPr>
        <w:spacing w:line="240" w:lineRule="auto"/>
        <w:jc w:val="both"/>
        <w:rPr>
          <w:b/>
          <w:bCs/>
          <w:sz w:val="22"/>
          <w:lang w:val="en-ID"/>
        </w:rPr>
      </w:pPr>
    </w:p>
    <w:tbl>
      <w:tblPr>
        <w:tblW w:w="8076" w:type="dxa"/>
        <w:jc w:val="center"/>
        <w:tblLook w:val="04A0" w:firstRow="1" w:lastRow="0" w:firstColumn="1" w:lastColumn="0" w:noHBand="0" w:noVBand="1"/>
      </w:tblPr>
      <w:tblGrid>
        <w:gridCol w:w="3681"/>
        <w:gridCol w:w="1701"/>
        <w:gridCol w:w="2694"/>
      </w:tblGrid>
      <w:tr w:rsidR="00D20A89" w:rsidRPr="00D20A89" w14:paraId="79663BB0" w14:textId="77777777" w:rsidTr="00D20A89">
        <w:trPr>
          <w:tblHeade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27732717" w14:textId="77777777" w:rsidR="00D20A89" w:rsidRPr="00D20A89" w:rsidRDefault="00D20A89" w:rsidP="00D20A89">
            <w:pPr>
              <w:spacing w:line="240" w:lineRule="auto"/>
              <w:jc w:val="center"/>
              <w:rPr>
                <w:b/>
                <w:bCs/>
                <w:iCs/>
                <w:sz w:val="22"/>
                <w:lang w:val="en-ID"/>
              </w:rPr>
            </w:pPr>
            <w:r w:rsidRPr="00D20A89">
              <w:rPr>
                <w:b/>
                <w:bCs/>
                <w:iCs/>
                <w:sz w:val="22"/>
                <w:lang w:val="en-ID"/>
              </w:rPr>
              <w:t>Sumber Risiko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AF72B4" w14:textId="77777777" w:rsidR="00D20A89" w:rsidRPr="00D20A89" w:rsidRDefault="00D20A89" w:rsidP="00D20A89">
            <w:pPr>
              <w:spacing w:line="240" w:lineRule="auto"/>
              <w:jc w:val="center"/>
              <w:rPr>
                <w:b/>
                <w:bCs/>
                <w:iCs/>
                <w:sz w:val="22"/>
                <w:lang w:val="en-ID"/>
              </w:rPr>
            </w:pPr>
            <w:r w:rsidRPr="00D20A89">
              <w:rPr>
                <w:b/>
                <w:bCs/>
                <w:iCs/>
                <w:sz w:val="22"/>
                <w:lang w:val="en-ID"/>
              </w:rPr>
              <w:t>Kode Sumber Risiko</w:t>
            </w:r>
          </w:p>
        </w:tc>
        <w:tc>
          <w:tcPr>
            <w:tcW w:w="2694" w:type="dxa"/>
            <w:tcBorders>
              <w:top w:val="single" w:sz="4" w:space="0" w:color="auto"/>
              <w:left w:val="single" w:sz="4" w:space="0" w:color="auto"/>
              <w:bottom w:val="single" w:sz="4" w:space="0" w:color="auto"/>
              <w:right w:val="single" w:sz="4" w:space="0" w:color="auto"/>
            </w:tcBorders>
            <w:hideMark/>
          </w:tcPr>
          <w:p w14:paraId="70D01298" w14:textId="77777777" w:rsidR="00D20A89" w:rsidRPr="00D20A89" w:rsidRDefault="00D20A89" w:rsidP="00D20A89">
            <w:pPr>
              <w:spacing w:line="240" w:lineRule="auto"/>
              <w:jc w:val="center"/>
              <w:rPr>
                <w:b/>
                <w:bCs/>
                <w:sz w:val="22"/>
                <w:lang w:val="en-ID"/>
              </w:rPr>
            </w:pPr>
            <w:r w:rsidRPr="00D20A89">
              <w:rPr>
                <w:b/>
                <w:bCs/>
                <w:sz w:val="22"/>
                <w:lang w:val="en-ID"/>
              </w:rPr>
              <w:t>Frekuensi Kemungkinan Terjadinya Risiko (O)</w:t>
            </w:r>
          </w:p>
        </w:tc>
      </w:tr>
      <w:tr w:rsidR="00D20A89" w:rsidRPr="00D20A89" w14:paraId="5A7DFCF4" w14:textId="77777777" w:rsidTr="00D20A89">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620CD37C" w14:textId="77777777" w:rsidR="00D20A89" w:rsidRPr="00D20A89" w:rsidRDefault="00D20A89" w:rsidP="00D20A89">
            <w:pPr>
              <w:spacing w:line="240" w:lineRule="auto"/>
              <w:rPr>
                <w:bCs/>
                <w:sz w:val="22"/>
                <w:lang w:val="en-AU"/>
              </w:rPr>
            </w:pPr>
            <w:r w:rsidRPr="00D20A89">
              <w:rPr>
                <w:bCs/>
                <w:sz w:val="22"/>
                <w:lang w:val="en-AU"/>
              </w:rPr>
              <w:t>Peningkatan permintaan yang signifikan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A2254" w14:textId="77777777" w:rsidR="00D20A89" w:rsidRPr="00D20A89" w:rsidRDefault="00D20A89" w:rsidP="00D20A89">
            <w:pPr>
              <w:spacing w:line="240" w:lineRule="auto"/>
              <w:jc w:val="center"/>
              <w:rPr>
                <w:bCs/>
                <w:sz w:val="22"/>
                <w:lang w:val="en-AU"/>
              </w:rPr>
            </w:pPr>
            <w:r w:rsidRPr="00D20A89">
              <w:rPr>
                <w:bCs/>
                <w:sz w:val="22"/>
                <w:lang w:val="en-AU"/>
              </w:rPr>
              <w:t>A1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2A3A1AC" w14:textId="77777777" w:rsidR="00D20A89" w:rsidRPr="00D20A89" w:rsidRDefault="00D20A89" w:rsidP="00D20A89">
            <w:pPr>
              <w:spacing w:line="240" w:lineRule="auto"/>
              <w:jc w:val="center"/>
              <w:rPr>
                <w:bCs/>
                <w:sz w:val="22"/>
                <w:lang w:val="en-AU"/>
              </w:rPr>
            </w:pPr>
            <w:r w:rsidRPr="00D20A89">
              <w:rPr>
                <w:bCs/>
                <w:sz w:val="22"/>
                <w:lang w:val="en-AU"/>
              </w:rPr>
              <w:t>6,3</w:t>
            </w:r>
          </w:p>
        </w:tc>
      </w:tr>
      <w:tr w:rsidR="00D20A89" w:rsidRPr="00D20A89" w14:paraId="69FC317C" w14:textId="77777777" w:rsidTr="00D20A89">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2E5E02B2" w14:textId="77777777" w:rsidR="00D20A89" w:rsidRPr="00D20A89" w:rsidRDefault="00D20A89" w:rsidP="00D20A89">
            <w:pPr>
              <w:spacing w:line="240" w:lineRule="auto"/>
              <w:rPr>
                <w:bCs/>
                <w:sz w:val="22"/>
                <w:lang w:val="en-AU"/>
              </w:rPr>
            </w:pPr>
            <w:r w:rsidRPr="00D20A89">
              <w:rPr>
                <w:bCs/>
                <w:sz w:val="22"/>
                <w:lang w:val="en-AU"/>
              </w:rPr>
              <w:t>Permintaan konsumen yang tidak pasti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9A4047" w14:textId="77777777" w:rsidR="00D20A89" w:rsidRPr="00D20A89" w:rsidRDefault="00D20A89" w:rsidP="00D20A89">
            <w:pPr>
              <w:spacing w:line="240" w:lineRule="auto"/>
              <w:jc w:val="center"/>
              <w:rPr>
                <w:bCs/>
                <w:sz w:val="22"/>
                <w:lang w:val="en-AU"/>
              </w:rPr>
            </w:pPr>
            <w:r w:rsidRPr="00D20A89">
              <w:rPr>
                <w:bCs/>
                <w:sz w:val="22"/>
                <w:lang w:val="en-AU"/>
              </w:rPr>
              <w:t>A2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3A0C6ED" w14:textId="77777777" w:rsidR="00D20A89" w:rsidRPr="00D20A89" w:rsidRDefault="00D20A89" w:rsidP="00D20A89">
            <w:pPr>
              <w:spacing w:line="240" w:lineRule="auto"/>
              <w:jc w:val="center"/>
              <w:rPr>
                <w:bCs/>
                <w:sz w:val="22"/>
                <w:lang w:val="en-AU"/>
              </w:rPr>
            </w:pPr>
            <w:r w:rsidRPr="00D20A89">
              <w:rPr>
                <w:bCs/>
                <w:sz w:val="22"/>
                <w:lang w:val="en-AU"/>
              </w:rPr>
              <w:t>6</w:t>
            </w:r>
          </w:p>
        </w:tc>
      </w:tr>
      <w:tr w:rsidR="00D20A89" w:rsidRPr="00D20A89" w14:paraId="7C12E460" w14:textId="77777777" w:rsidTr="00D20A89">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0B035584" w14:textId="77777777" w:rsidR="00D20A89" w:rsidRPr="00D20A89" w:rsidRDefault="00D20A89" w:rsidP="00D20A89">
            <w:pPr>
              <w:spacing w:line="240" w:lineRule="auto"/>
              <w:rPr>
                <w:bCs/>
                <w:sz w:val="22"/>
                <w:lang w:val="en-AU"/>
              </w:rPr>
            </w:pPr>
            <w:r w:rsidRPr="00D20A89">
              <w:rPr>
                <w:bCs/>
                <w:i/>
                <w:sz w:val="22"/>
                <w:lang w:val="en-AU"/>
              </w:rPr>
              <w:t>Human Error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F458E9" w14:textId="77777777" w:rsidR="00D20A89" w:rsidRPr="00D20A89" w:rsidRDefault="00D20A89" w:rsidP="00D20A89">
            <w:pPr>
              <w:spacing w:line="240" w:lineRule="auto"/>
              <w:jc w:val="center"/>
              <w:rPr>
                <w:bCs/>
                <w:sz w:val="22"/>
                <w:lang w:val="en-AU"/>
              </w:rPr>
            </w:pPr>
            <w:r w:rsidRPr="00D20A89">
              <w:rPr>
                <w:bCs/>
                <w:sz w:val="22"/>
                <w:lang w:val="en-AU"/>
              </w:rPr>
              <w:t>A3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E039FB6" w14:textId="77777777" w:rsidR="00D20A89" w:rsidRPr="00D20A89" w:rsidRDefault="00D20A89" w:rsidP="00D20A89">
            <w:pPr>
              <w:spacing w:line="240" w:lineRule="auto"/>
              <w:jc w:val="center"/>
              <w:rPr>
                <w:bCs/>
                <w:sz w:val="22"/>
                <w:lang w:val="en-AU"/>
              </w:rPr>
            </w:pPr>
            <w:r w:rsidRPr="00D20A89">
              <w:rPr>
                <w:bCs/>
                <w:sz w:val="22"/>
                <w:lang w:val="en-AU"/>
              </w:rPr>
              <w:t>7,7</w:t>
            </w:r>
          </w:p>
        </w:tc>
      </w:tr>
      <w:tr w:rsidR="00D20A89" w:rsidRPr="00D20A89" w14:paraId="42697191" w14:textId="77777777" w:rsidTr="00D20A89">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7BD04037" w14:textId="77777777" w:rsidR="00D20A89" w:rsidRPr="00D20A89" w:rsidRDefault="00D20A89" w:rsidP="00D20A89">
            <w:pPr>
              <w:spacing w:line="240" w:lineRule="auto"/>
              <w:rPr>
                <w:bCs/>
                <w:sz w:val="22"/>
                <w:lang w:val="en-AU"/>
              </w:rPr>
            </w:pPr>
            <w:r w:rsidRPr="00D20A89">
              <w:rPr>
                <w:bCs/>
                <w:sz w:val="22"/>
                <w:lang w:val="en-AU"/>
              </w:rPr>
              <w:t>Terjadinya gangguan pada proses produksi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3C7C3B" w14:textId="77777777" w:rsidR="00D20A89" w:rsidRPr="00D20A89" w:rsidRDefault="00D20A89" w:rsidP="00D20A89">
            <w:pPr>
              <w:spacing w:line="240" w:lineRule="auto"/>
              <w:jc w:val="center"/>
              <w:rPr>
                <w:bCs/>
                <w:sz w:val="22"/>
                <w:lang w:val="en-AU"/>
              </w:rPr>
            </w:pPr>
            <w:r w:rsidRPr="00D20A89">
              <w:rPr>
                <w:bCs/>
                <w:sz w:val="22"/>
                <w:lang w:val="en-AU"/>
              </w:rPr>
              <w:t>A4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E76E62F" w14:textId="77777777" w:rsidR="00D20A89" w:rsidRPr="00D20A89" w:rsidRDefault="00D20A89" w:rsidP="00D20A89">
            <w:pPr>
              <w:spacing w:line="240" w:lineRule="auto"/>
              <w:jc w:val="center"/>
              <w:rPr>
                <w:bCs/>
                <w:sz w:val="22"/>
                <w:lang w:val="en-AU"/>
              </w:rPr>
            </w:pPr>
            <w:r w:rsidRPr="00D20A89">
              <w:rPr>
                <w:bCs/>
                <w:sz w:val="22"/>
                <w:lang w:val="en-AU"/>
              </w:rPr>
              <w:t>6,7</w:t>
            </w:r>
          </w:p>
        </w:tc>
      </w:tr>
      <w:tr w:rsidR="00D20A89" w:rsidRPr="00D20A89" w14:paraId="10982119" w14:textId="77777777" w:rsidTr="00D20A89">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62368F01" w14:textId="77777777" w:rsidR="00D20A89" w:rsidRPr="00D20A89" w:rsidRDefault="00D20A89" w:rsidP="00D20A89">
            <w:pPr>
              <w:spacing w:line="240" w:lineRule="auto"/>
              <w:rPr>
                <w:bCs/>
                <w:sz w:val="22"/>
                <w:lang w:val="en-AU"/>
              </w:rPr>
            </w:pPr>
            <w:r w:rsidRPr="00D20A89">
              <w:rPr>
                <w:bCs/>
                <w:sz w:val="22"/>
                <w:lang w:val="en-AU"/>
              </w:rPr>
              <w:t>Gangguan transportasi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191691" w14:textId="77777777" w:rsidR="00D20A89" w:rsidRPr="00D20A89" w:rsidRDefault="00D20A89" w:rsidP="00D20A89">
            <w:pPr>
              <w:spacing w:line="240" w:lineRule="auto"/>
              <w:jc w:val="center"/>
              <w:rPr>
                <w:bCs/>
                <w:sz w:val="22"/>
                <w:lang w:val="en-AU"/>
              </w:rPr>
            </w:pPr>
            <w:r w:rsidRPr="00D20A89">
              <w:rPr>
                <w:bCs/>
                <w:sz w:val="22"/>
                <w:lang w:val="en-AU"/>
              </w:rPr>
              <w:t>A5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783A685" w14:textId="77777777" w:rsidR="00D20A89" w:rsidRPr="00D20A89" w:rsidRDefault="00D20A89" w:rsidP="00D20A89">
            <w:pPr>
              <w:spacing w:line="240" w:lineRule="auto"/>
              <w:jc w:val="center"/>
              <w:rPr>
                <w:bCs/>
                <w:sz w:val="22"/>
                <w:lang w:val="en-AU"/>
              </w:rPr>
            </w:pPr>
            <w:r w:rsidRPr="00D20A89">
              <w:rPr>
                <w:bCs/>
                <w:sz w:val="22"/>
                <w:lang w:val="en-AU"/>
              </w:rPr>
              <w:t>7,5</w:t>
            </w:r>
          </w:p>
        </w:tc>
      </w:tr>
      <w:tr w:rsidR="00D20A89" w:rsidRPr="00D20A89" w14:paraId="416FA16E" w14:textId="77777777" w:rsidTr="00D20A89">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373A7B66" w14:textId="77777777" w:rsidR="00D20A89" w:rsidRPr="00D20A89" w:rsidRDefault="00D20A89" w:rsidP="00D20A89">
            <w:pPr>
              <w:spacing w:line="240" w:lineRule="auto"/>
              <w:rPr>
                <w:bCs/>
                <w:sz w:val="22"/>
                <w:lang w:val="en-AU"/>
              </w:rPr>
            </w:pPr>
            <w:r w:rsidRPr="00D20A89">
              <w:rPr>
                <w:bCs/>
                <w:sz w:val="22"/>
                <w:lang w:val="en-AU"/>
              </w:rPr>
              <w:t>Suplai bibit kurang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9CBE30" w14:textId="77777777" w:rsidR="00D20A89" w:rsidRPr="00D20A89" w:rsidRDefault="00D20A89" w:rsidP="00D20A89">
            <w:pPr>
              <w:spacing w:line="240" w:lineRule="auto"/>
              <w:jc w:val="center"/>
              <w:rPr>
                <w:bCs/>
                <w:sz w:val="22"/>
                <w:lang w:val="en-AU"/>
              </w:rPr>
            </w:pPr>
            <w:r w:rsidRPr="00D20A89">
              <w:rPr>
                <w:bCs/>
                <w:sz w:val="22"/>
                <w:lang w:val="en-AU"/>
              </w:rPr>
              <w:t>A6</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D3911E0" w14:textId="77777777" w:rsidR="00D20A89" w:rsidRPr="00D20A89" w:rsidRDefault="00D20A89" w:rsidP="00D20A89">
            <w:pPr>
              <w:spacing w:line="240" w:lineRule="auto"/>
              <w:jc w:val="center"/>
              <w:rPr>
                <w:bCs/>
                <w:sz w:val="22"/>
                <w:lang w:val="en-AU"/>
              </w:rPr>
            </w:pPr>
            <w:r w:rsidRPr="00D20A89">
              <w:rPr>
                <w:bCs/>
                <w:sz w:val="22"/>
                <w:lang w:val="en-AU"/>
              </w:rPr>
              <w:t>6,5</w:t>
            </w:r>
          </w:p>
        </w:tc>
      </w:tr>
      <w:tr w:rsidR="00D20A89" w:rsidRPr="00D20A89" w14:paraId="72F38F21" w14:textId="77777777" w:rsidTr="00D20A89">
        <w:trP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7290D7E4" w14:textId="77777777" w:rsidR="00D20A89" w:rsidRPr="00D20A89" w:rsidRDefault="00D20A89" w:rsidP="00D20A89">
            <w:pPr>
              <w:spacing w:line="240" w:lineRule="auto"/>
              <w:rPr>
                <w:bCs/>
                <w:sz w:val="22"/>
                <w:lang w:val="en-AU"/>
              </w:rPr>
            </w:pPr>
            <w:r w:rsidRPr="00D20A89">
              <w:rPr>
                <w:bCs/>
                <w:sz w:val="22"/>
                <w:lang w:val="en-AU"/>
              </w:rPr>
              <w:t>Kualitas Bibit yang buruk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B74B5A" w14:textId="77777777" w:rsidR="00D20A89" w:rsidRPr="00D20A89" w:rsidRDefault="00D20A89" w:rsidP="00D20A89">
            <w:pPr>
              <w:spacing w:line="240" w:lineRule="auto"/>
              <w:jc w:val="center"/>
              <w:rPr>
                <w:bCs/>
                <w:sz w:val="22"/>
                <w:lang w:val="en-AU"/>
              </w:rPr>
            </w:pPr>
            <w:r w:rsidRPr="00D20A89">
              <w:rPr>
                <w:bCs/>
                <w:sz w:val="22"/>
                <w:lang w:val="en-AU"/>
              </w:rPr>
              <w:t>A7</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7D2898C" w14:textId="77777777" w:rsidR="00D20A89" w:rsidRPr="00D20A89" w:rsidRDefault="00D20A89" w:rsidP="00D20A89">
            <w:pPr>
              <w:spacing w:line="240" w:lineRule="auto"/>
              <w:jc w:val="center"/>
              <w:rPr>
                <w:bCs/>
                <w:sz w:val="22"/>
                <w:lang w:val="en-AU"/>
              </w:rPr>
            </w:pPr>
            <w:r w:rsidRPr="00D20A89">
              <w:rPr>
                <w:bCs/>
                <w:sz w:val="22"/>
                <w:lang w:val="en-AU"/>
              </w:rPr>
              <w:t>7,2</w:t>
            </w:r>
          </w:p>
        </w:tc>
      </w:tr>
    </w:tbl>
    <w:p w14:paraId="2FF7204B" w14:textId="77777777" w:rsidR="00D20A89" w:rsidRDefault="00D20A89" w:rsidP="00D20A89">
      <w:pPr>
        <w:spacing w:line="240" w:lineRule="auto"/>
        <w:jc w:val="both"/>
        <w:rPr>
          <w:bCs/>
          <w:sz w:val="22"/>
          <w:lang w:val="en-ID"/>
        </w:rPr>
        <w:sectPr w:rsidR="00D20A89" w:rsidSect="00D20A89">
          <w:type w:val="continuous"/>
          <w:pgSz w:w="11907" w:h="16840"/>
          <w:pgMar w:top="1701" w:right="1134" w:bottom="1134" w:left="1418" w:header="1134" w:footer="737" w:gutter="0"/>
          <w:pgNumType w:start="1"/>
          <w:cols w:space="720"/>
        </w:sectPr>
      </w:pPr>
    </w:p>
    <w:p w14:paraId="04C6EBF0" w14:textId="4C8546BA" w:rsidR="00D20A89" w:rsidRPr="00D20A89" w:rsidRDefault="00D20A89" w:rsidP="00D20A89">
      <w:pPr>
        <w:spacing w:line="240" w:lineRule="auto"/>
        <w:jc w:val="both"/>
        <w:rPr>
          <w:bCs/>
          <w:sz w:val="22"/>
          <w:lang w:val="en-ID"/>
        </w:rPr>
      </w:pPr>
    </w:p>
    <w:p w14:paraId="5E560EE8" w14:textId="77777777" w:rsidR="00D20A89" w:rsidRPr="00D20A89" w:rsidRDefault="00D20A89" w:rsidP="00D20A89">
      <w:pPr>
        <w:spacing w:line="240" w:lineRule="auto"/>
        <w:jc w:val="both"/>
        <w:rPr>
          <w:bCs/>
          <w:sz w:val="22"/>
          <w:lang w:val="en-ID"/>
        </w:rPr>
        <w:sectPr w:rsidR="00D20A89" w:rsidRPr="00D20A89" w:rsidSect="00D20A89">
          <w:type w:val="continuous"/>
          <w:pgSz w:w="11907" w:h="16840"/>
          <w:pgMar w:top="1701" w:right="1134" w:bottom="1134" w:left="1418" w:header="1134" w:footer="737" w:gutter="0"/>
          <w:pgNumType w:start="1"/>
          <w:cols w:num="2" w:space="720"/>
        </w:sectPr>
      </w:pPr>
    </w:p>
    <w:p w14:paraId="2686C761" w14:textId="77777777" w:rsidR="00D20A89" w:rsidRPr="00D20A89" w:rsidRDefault="00D20A89" w:rsidP="00D20A89">
      <w:pPr>
        <w:spacing w:line="240" w:lineRule="auto"/>
        <w:jc w:val="both"/>
        <w:rPr>
          <w:bCs/>
          <w:sz w:val="22"/>
          <w:lang w:val="en-ID"/>
        </w:rPr>
      </w:pPr>
      <w:r w:rsidRPr="00D20A89">
        <w:rPr>
          <w:bCs/>
          <w:sz w:val="22"/>
          <w:lang w:val="en-ID"/>
        </w:rPr>
        <w:t>Identifikasi kemungkinan dampak terjadinya risiko (</w:t>
      </w:r>
      <w:r w:rsidRPr="00D20A89">
        <w:rPr>
          <w:bCs/>
          <w:i/>
          <w:sz w:val="22"/>
          <w:lang w:val="en-ID"/>
        </w:rPr>
        <w:t>severity</w:t>
      </w:r>
      <w:r w:rsidRPr="00D20A89">
        <w:rPr>
          <w:bCs/>
          <w:sz w:val="22"/>
          <w:lang w:val="en-ID"/>
        </w:rPr>
        <w:t>) suatu sumber risiko menyatakan tingkat kemungkinan dampak yang dapat diakibatkan oleh suatu kejadian risiko. Skala yang digunakan dalam penentuan peluang kemunculan suatu sumber risiko (</w:t>
      </w:r>
      <w:r w:rsidRPr="00D20A89">
        <w:rPr>
          <w:bCs/>
          <w:i/>
          <w:iCs/>
          <w:sz w:val="22"/>
          <w:lang w:val="en-ID"/>
        </w:rPr>
        <w:t>risk agent</w:t>
      </w:r>
      <w:r w:rsidRPr="00D20A89">
        <w:rPr>
          <w:bCs/>
          <w:sz w:val="22"/>
          <w:lang w:val="en-ID"/>
        </w:rPr>
        <w:t xml:space="preserve">) menggunakan tingkat skala 1-10, dengan arti bahwa nilai 1 (hampir tidak pernah terjadi) sampai dengan nilai 10 (hampir pasti terjadi) suatu kejadian risiko (Shahin, 2004). Rumus yang digunakan pada komponen risiko </w:t>
      </w:r>
      <w:r w:rsidRPr="00D20A89">
        <w:rPr>
          <w:bCs/>
          <w:i/>
          <w:sz w:val="22"/>
          <w:lang w:val="en-ID"/>
        </w:rPr>
        <w:t>Severity</w:t>
      </w:r>
      <w:r w:rsidRPr="00D20A89">
        <w:rPr>
          <w:bCs/>
          <w:sz w:val="22"/>
          <w:lang w:val="en-ID"/>
        </w:rPr>
        <w:t xml:space="preserve"> (Geraldine et al. 2007) adalah:</w:t>
      </w:r>
    </w:p>
    <w:p w14:paraId="1B9B99B3" w14:textId="5C560A1D" w:rsidR="00D20A89" w:rsidRPr="00D20A89" w:rsidRDefault="00D20A89" w:rsidP="00D20A89">
      <w:pPr>
        <w:spacing w:line="240" w:lineRule="auto"/>
        <w:jc w:val="both"/>
        <w:rPr>
          <w:bCs/>
          <w:sz w:val="22"/>
          <w:lang w:val="en-ID"/>
        </w:rPr>
      </w:pPr>
      <w:r w:rsidRPr="00D20A89">
        <w:rPr>
          <w:bCs/>
          <w:sz w:val="22"/>
          <w:lang w:val="en-ID"/>
        </w:rPr>
        <w:t>S</w:t>
      </w:r>
      <w:r w:rsidRPr="00D20A89">
        <w:rPr>
          <w:bCs/>
          <w:sz w:val="22"/>
          <w:vertAlign w:val="subscript"/>
          <w:lang w:val="en-ID"/>
        </w:rPr>
        <w:t>i</w:t>
      </w:r>
      <w:r w:rsidRPr="00D20A89">
        <w:rPr>
          <w:bCs/>
          <w:sz w:val="22"/>
          <w:lang w:val="en-ID"/>
        </w:rPr>
        <w:t xml:space="preserve"> = </w:t>
      </w:r>
      <m:oMath>
        <m:f>
          <m:fPr>
            <m:ctrlPr>
              <w:rPr>
                <w:rFonts w:ascii="Cambria Math" w:hAnsi="Cambria Math"/>
                <w:bCs/>
                <w:i/>
                <w:sz w:val="22"/>
                <w:lang w:val="en-ID"/>
              </w:rPr>
            </m:ctrlPr>
          </m:fPr>
          <m:num>
            <m:r>
              <m:rPr>
                <m:sty m:val="p"/>
              </m:rPr>
              <w:rPr>
                <w:rFonts w:ascii="Cambria Math" w:hAnsi="Cambria Math"/>
                <w:sz w:val="22"/>
                <w:lang w:val="en-ID"/>
              </w:rPr>
              <m:t>(</m:t>
            </m:r>
            <m:sSub>
              <m:sSubPr>
                <m:ctrlPr>
                  <w:rPr>
                    <w:rFonts w:ascii="Cambria Math" w:hAnsi="Cambria Math"/>
                    <w:bCs/>
                    <w:i/>
                    <w:sz w:val="22"/>
                    <w:vertAlign w:val="subscript"/>
                    <w:lang w:val="en-ID"/>
                  </w:rPr>
                </m:ctrlPr>
              </m:sSubPr>
              <m:e>
                <m:r>
                  <w:rPr>
                    <w:rFonts w:ascii="Cambria Math" w:hAnsi="Cambria Math"/>
                    <w:sz w:val="22"/>
                    <w:vertAlign w:val="subscript"/>
                    <w:lang w:val="en-ID"/>
                  </w:rPr>
                  <m:t>S</m:t>
                </m:r>
              </m:e>
              <m:sub>
                <m:r>
                  <w:rPr>
                    <w:rFonts w:ascii="Cambria Math" w:hAnsi="Cambria Math"/>
                    <w:sz w:val="22"/>
                    <w:vertAlign w:val="subscript"/>
                    <w:lang w:val="en-ID"/>
                  </w:rPr>
                  <m:t>i1</m:t>
                </m:r>
              </m:sub>
            </m:sSub>
            <m:r>
              <w:rPr>
                <w:rFonts w:ascii="Cambria Math" w:hAnsi="Cambria Math"/>
                <w:sz w:val="22"/>
                <w:vertAlign w:val="subscript"/>
                <w:lang w:val="en-ID"/>
              </w:rPr>
              <m:t xml:space="preserve">x </m:t>
            </m:r>
            <m:sSub>
              <m:sSubPr>
                <m:ctrlPr>
                  <w:rPr>
                    <w:rFonts w:ascii="Cambria Math" w:hAnsi="Cambria Math"/>
                    <w:bCs/>
                    <w:i/>
                    <w:sz w:val="22"/>
                    <w:vertAlign w:val="subscript"/>
                    <w:lang w:val="en-ID"/>
                  </w:rPr>
                </m:ctrlPr>
              </m:sSubPr>
              <m:e>
                <m:r>
                  <w:rPr>
                    <w:rFonts w:ascii="Cambria Math" w:hAnsi="Cambria Math"/>
                    <w:sz w:val="22"/>
                    <w:vertAlign w:val="subscript"/>
                    <w:lang w:val="en-ID"/>
                  </w:rPr>
                  <m:t>S</m:t>
                </m:r>
              </m:e>
              <m:sub>
                <m:r>
                  <w:rPr>
                    <w:rFonts w:ascii="Cambria Math" w:hAnsi="Cambria Math"/>
                    <w:sz w:val="22"/>
                    <w:vertAlign w:val="subscript"/>
                    <w:lang w:val="en-ID"/>
                  </w:rPr>
                  <m:t>i2</m:t>
                </m:r>
              </m:sub>
            </m:sSub>
            <m:r>
              <w:rPr>
                <w:rFonts w:ascii="Cambria Math" w:hAnsi="Cambria Math"/>
                <w:sz w:val="22"/>
                <w:vertAlign w:val="subscript"/>
                <w:lang w:val="en-ID"/>
              </w:rPr>
              <m:t xml:space="preserve"> x </m:t>
            </m:r>
            <m:sSub>
              <m:sSubPr>
                <m:ctrlPr>
                  <w:rPr>
                    <w:rFonts w:ascii="Cambria Math" w:hAnsi="Cambria Math"/>
                    <w:bCs/>
                    <w:i/>
                    <w:sz w:val="22"/>
                    <w:vertAlign w:val="subscript"/>
                    <w:lang w:val="en-ID"/>
                  </w:rPr>
                </m:ctrlPr>
              </m:sSubPr>
              <m:e>
                <m:r>
                  <w:rPr>
                    <w:rFonts w:ascii="Cambria Math" w:hAnsi="Cambria Math"/>
                    <w:sz w:val="22"/>
                    <w:vertAlign w:val="subscript"/>
                    <w:lang w:val="en-ID"/>
                  </w:rPr>
                  <m:t>S</m:t>
                </m:r>
              </m:e>
              <m:sub>
                <m:r>
                  <w:rPr>
                    <w:rFonts w:ascii="Cambria Math" w:hAnsi="Cambria Math"/>
                    <w:sz w:val="22"/>
                    <w:vertAlign w:val="subscript"/>
                    <w:lang w:val="en-ID"/>
                  </w:rPr>
                  <m:t>i3</m:t>
                </m:r>
              </m:sub>
            </m:sSub>
            <m:r>
              <w:rPr>
                <w:rFonts w:ascii="Cambria Math" w:hAnsi="Cambria Math"/>
                <w:sz w:val="22"/>
                <w:vertAlign w:val="subscript"/>
                <w:lang w:val="en-ID"/>
              </w:rPr>
              <m:t xml:space="preserve">…..  x </m:t>
            </m:r>
            <m:sSub>
              <m:sSubPr>
                <m:ctrlPr>
                  <w:rPr>
                    <w:rFonts w:ascii="Cambria Math" w:hAnsi="Cambria Math"/>
                    <w:bCs/>
                    <w:i/>
                    <w:sz w:val="22"/>
                    <w:vertAlign w:val="subscript"/>
                    <w:lang w:val="en-ID"/>
                  </w:rPr>
                </m:ctrlPr>
              </m:sSubPr>
              <m:e>
                <m:r>
                  <m:rPr>
                    <m:sty m:val="p"/>
                  </m:rPr>
                  <w:rPr>
                    <w:rFonts w:ascii="Cambria Math" w:hAnsi="Cambria Math"/>
                    <w:sz w:val="22"/>
                    <w:vertAlign w:val="subscript"/>
                    <w:lang w:val="en-ID"/>
                  </w:rPr>
                  <m:t>S</m:t>
                </m:r>
              </m:e>
              <m:sub>
                <m:r>
                  <w:rPr>
                    <w:rFonts w:ascii="Cambria Math" w:hAnsi="Cambria Math"/>
                    <w:sz w:val="22"/>
                    <w:vertAlign w:val="subscript"/>
                    <w:lang w:val="en-ID"/>
                  </w:rPr>
                  <m:t>ik</m:t>
                </m:r>
              </m:sub>
            </m:sSub>
          </m:num>
          <m:den>
            <m:r>
              <w:rPr>
                <w:rFonts w:ascii="Cambria Math" w:hAnsi="Cambria Math"/>
                <w:sz w:val="22"/>
                <w:lang w:val="en-ID"/>
              </w:rPr>
              <m:t>k</m:t>
            </m:r>
          </m:den>
        </m:f>
      </m:oMath>
      <w:r w:rsidRPr="00D20A89">
        <w:rPr>
          <w:bCs/>
          <w:sz w:val="22"/>
          <w:lang w:val="en-ID"/>
        </w:rPr>
        <w:t xml:space="preserve"> ……………...… (3.2.)</w:t>
      </w:r>
    </w:p>
    <w:p w14:paraId="3B642A1D" w14:textId="77777777" w:rsidR="00D20A89" w:rsidRPr="00D20A89" w:rsidRDefault="00D20A89" w:rsidP="00D20A89">
      <w:pPr>
        <w:spacing w:line="240" w:lineRule="auto"/>
        <w:jc w:val="both"/>
        <w:rPr>
          <w:bCs/>
          <w:sz w:val="22"/>
          <w:lang w:val="en-ID"/>
        </w:rPr>
      </w:pPr>
      <w:r w:rsidRPr="00D20A89">
        <w:rPr>
          <w:bCs/>
          <w:sz w:val="22"/>
          <w:lang w:val="en-ID"/>
        </w:rPr>
        <w:t>Keterangan:</w:t>
      </w:r>
    </w:p>
    <w:p w14:paraId="0CB07C52" w14:textId="7801F5B4" w:rsidR="00D20A89" w:rsidRPr="00D20A89" w:rsidRDefault="00D20A89" w:rsidP="005415B3">
      <w:pPr>
        <w:spacing w:line="240" w:lineRule="auto"/>
        <w:jc w:val="both"/>
        <w:rPr>
          <w:bCs/>
          <w:sz w:val="22"/>
          <w:lang w:val="en-ID"/>
        </w:rPr>
      </w:pPr>
      <w:r w:rsidRPr="00D20A89">
        <w:rPr>
          <w:bCs/>
          <w:sz w:val="22"/>
          <w:vertAlign w:val="subscript"/>
          <w:lang w:val="en-ID"/>
        </w:rPr>
        <w:t>Si</w:t>
      </w:r>
      <w:r w:rsidR="005415B3">
        <w:rPr>
          <w:bCs/>
          <w:sz w:val="22"/>
          <w:vertAlign w:val="subscript"/>
          <w:lang w:val="en-ID"/>
        </w:rPr>
        <w:t xml:space="preserve"> </w:t>
      </w:r>
      <w:r w:rsidRPr="00D20A89">
        <w:rPr>
          <w:bCs/>
          <w:sz w:val="22"/>
          <w:lang w:val="en-ID"/>
        </w:rPr>
        <w:t xml:space="preserve">= </w:t>
      </w:r>
      <w:bookmarkStart w:id="2" w:name="_Hlk481619006"/>
      <w:r w:rsidRPr="00D20A89">
        <w:rPr>
          <w:bCs/>
          <w:sz w:val="22"/>
          <w:lang w:val="en-ID"/>
        </w:rPr>
        <w:t xml:space="preserve">kemungkinan dampak terjadinya </w:t>
      </w:r>
    </w:p>
    <w:p w14:paraId="699E0AD6" w14:textId="618B14A4" w:rsidR="00D20A89" w:rsidRPr="00D20A89" w:rsidRDefault="00D20A89" w:rsidP="005415B3">
      <w:pPr>
        <w:spacing w:line="240" w:lineRule="auto"/>
        <w:jc w:val="both"/>
        <w:rPr>
          <w:bCs/>
          <w:sz w:val="22"/>
          <w:lang w:val="en-ID"/>
        </w:rPr>
      </w:pPr>
      <w:r w:rsidRPr="00D20A89">
        <w:rPr>
          <w:bCs/>
          <w:sz w:val="22"/>
          <w:lang w:val="en-ID"/>
        </w:rPr>
        <w:t xml:space="preserve">   </w:t>
      </w:r>
      <w:r w:rsidR="005415B3">
        <w:rPr>
          <w:bCs/>
          <w:sz w:val="22"/>
          <w:lang w:val="en-ID"/>
        </w:rPr>
        <w:t xml:space="preserve">    </w:t>
      </w:r>
      <w:proofErr w:type="gramStart"/>
      <w:r w:rsidRPr="00D20A89">
        <w:rPr>
          <w:bCs/>
          <w:sz w:val="22"/>
          <w:lang w:val="en-ID"/>
        </w:rPr>
        <w:t>risiko</w:t>
      </w:r>
      <w:bookmarkEnd w:id="2"/>
      <w:proofErr w:type="gramEnd"/>
    </w:p>
    <w:p w14:paraId="6F12A4A8" w14:textId="036AC9CA" w:rsidR="00D20A89" w:rsidRPr="00D20A89" w:rsidRDefault="00D20A89" w:rsidP="005415B3">
      <w:pPr>
        <w:spacing w:line="240" w:lineRule="auto"/>
        <w:jc w:val="both"/>
        <w:rPr>
          <w:bCs/>
          <w:sz w:val="22"/>
          <w:lang w:val="en-ID"/>
        </w:rPr>
      </w:pPr>
      <w:r w:rsidRPr="00D20A89">
        <w:rPr>
          <w:bCs/>
          <w:sz w:val="22"/>
          <w:lang w:val="en-ID"/>
        </w:rPr>
        <w:t>j</w:t>
      </w:r>
      <w:r w:rsidR="005415B3">
        <w:rPr>
          <w:bCs/>
          <w:sz w:val="22"/>
          <w:lang w:val="en-ID"/>
        </w:rPr>
        <w:t xml:space="preserve"> </w:t>
      </w:r>
      <w:r w:rsidRPr="00D20A89">
        <w:rPr>
          <w:bCs/>
          <w:sz w:val="22"/>
          <w:lang w:val="en-ID"/>
        </w:rPr>
        <w:t xml:space="preserve">= 1, 2, </w:t>
      </w:r>
      <w:proofErr w:type="gramStart"/>
      <w:r w:rsidRPr="00D20A89">
        <w:rPr>
          <w:bCs/>
          <w:sz w:val="22"/>
          <w:lang w:val="en-ID"/>
        </w:rPr>
        <w:t>3, …..n</w:t>
      </w:r>
      <w:proofErr w:type="gramEnd"/>
    </w:p>
    <w:p w14:paraId="3943B6F8" w14:textId="16A8E5BA" w:rsidR="00D20A89" w:rsidRPr="00D20A89" w:rsidRDefault="00D20A89" w:rsidP="005415B3">
      <w:pPr>
        <w:spacing w:line="240" w:lineRule="auto"/>
        <w:jc w:val="both"/>
        <w:rPr>
          <w:bCs/>
          <w:sz w:val="22"/>
          <w:lang w:val="en-ID"/>
        </w:rPr>
      </w:pPr>
      <w:r w:rsidRPr="00D20A89">
        <w:rPr>
          <w:bCs/>
          <w:sz w:val="22"/>
          <w:lang w:val="en-ID"/>
        </w:rPr>
        <w:t>k</w:t>
      </w:r>
      <w:r w:rsidR="005415B3">
        <w:rPr>
          <w:bCs/>
          <w:sz w:val="22"/>
          <w:lang w:val="en-ID"/>
        </w:rPr>
        <w:t xml:space="preserve"> </w:t>
      </w:r>
      <w:r w:rsidRPr="00D20A89">
        <w:rPr>
          <w:bCs/>
          <w:sz w:val="22"/>
          <w:lang w:val="en-ID"/>
        </w:rPr>
        <w:t>= jumlah pakar</w:t>
      </w:r>
    </w:p>
    <w:p w14:paraId="75CF1E55" w14:textId="77777777" w:rsidR="00D20A89" w:rsidRPr="00D20A89" w:rsidRDefault="00D20A89" w:rsidP="00D20A89">
      <w:pPr>
        <w:spacing w:line="240" w:lineRule="auto"/>
        <w:jc w:val="both"/>
        <w:rPr>
          <w:bCs/>
          <w:sz w:val="22"/>
          <w:lang w:val="en-ID"/>
        </w:rPr>
      </w:pPr>
      <w:r w:rsidRPr="00D20A89">
        <w:rPr>
          <w:bCs/>
          <w:sz w:val="22"/>
          <w:lang w:val="en-ID"/>
        </w:rPr>
        <w:t xml:space="preserve">Berdasarkan rumus 3.2., didapatkan nilai Kemungkinan terjadinya dampak risiko yang terjadi dari masing-masing kejadian risiko ditunjukkan tabel 3.2. </w:t>
      </w:r>
      <w:proofErr w:type="gramStart"/>
      <w:r w:rsidRPr="00D20A89">
        <w:rPr>
          <w:bCs/>
          <w:sz w:val="22"/>
          <w:lang w:val="en-ID"/>
        </w:rPr>
        <w:t>sebagai</w:t>
      </w:r>
      <w:proofErr w:type="gramEnd"/>
      <w:r w:rsidRPr="00D20A89">
        <w:rPr>
          <w:bCs/>
          <w:sz w:val="22"/>
          <w:lang w:val="en-ID"/>
        </w:rPr>
        <w:t xml:space="preserve"> berikut:</w:t>
      </w:r>
    </w:p>
    <w:p w14:paraId="32F72C16" w14:textId="77777777" w:rsidR="00D20A89" w:rsidRDefault="00D20A89" w:rsidP="00D20A89">
      <w:pPr>
        <w:spacing w:line="240" w:lineRule="auto"/>
        <w:jc w:val="center"/>
        <w:rPr>
          <w:b/>
          <w:bCs/>
          <w:sz w:val="22"/>
          <w:lang w:val="en-ID"/>
        </w:rPr>
        <w:sectPr w:rsidR="00D20A89" w:rsidSect="00D20A89">
          <w:type w:val="continuous"/>
          <w:pgSz w:w="11907" w:h="16840"/>
          <w:pgMar w:top="1701" w:right="1134" w:bottom="1134" w:left="1418" w:header="1134" w:footer="737" w:gutter="0"/>
          <w:pgNumType w:start="1"/>
          <w:cols w:num="2" w:space="720"/>
        </w:sectPr>
      </w:pPr>
    </w:p>
    <w:p w14:paraId="018250ED" w14:textId="77777777" w:rsidR="00D20A89" w:rsidRDefault="00D20A89" w:rsidP="00D20A89">
      <w:pPr>
        <w:spacing w:line="240" w:lineRule="auto"/>
        <w:jc w:val="center"/>
        <w:rPr>
          <w:b/>
          <w:bCs/>
          <w:sz w:val="22"/>
          <w:lang w:val="en-ID"/>
        </w:rPr>
      </w:pPr>
    </w:p>
    <w:p w14:paraId="25CBA5B5" w14:textId="635FDE11" w:rsidR="00D20A89" w:rsidRPr="00D20A89" w:rsidRDefault="00D20A89" w:rsidP="00D20A89">
      <w:pPr>
        <w:spacing w:line="240" w:lineRule="auto"/>
        <w:jc w:val="center"/>
        <w:rPr>
          <w:b/>
          <w:bCs/>
          <w:sz w:val="22"/>
          <w:lang w:val="en-ID"/>
        </w:rPr>
      </w:pPr>
      <w:r>
        <w:rPr>
          <w:b/>
          <w:bCs/>
          <w:sz w:val="22"/>
          <w:lang w:val="en-ID"/>
        </w:rPr>
        <w:t>Tabel 4</w:t>
      </w:r>
      <w:r w:rsidRPr="00D20A89">
        <w:rPr>
          <w:b/>
          <w:bCs/>
          <w:sz w:val="22"/>
          <w:lang w:val="en-ID"/>
        </w:rPr>
        <w:t>.2. Kemungkinan Dampak Terjadinya Risiko</w:t>
      </w:r>
    </w:p>
    <w:p w14:paraId="1BBA692B" w14:textId="77777777" w:rsidR="00D20A89" w:rsidRDefault="00D20A89" w:rsidP="00D20A89">
      <w:pPr>
        <w:spacing w:line="240" w:lineRule="auto"/>
        <w:jc w:val="both"/>
        <w:rPr>
          <w:b/>
          <w:bCs/>
          <w:iCs/>
          <w:sz w:val="22"/>
          <w:lang w:val="en-ID"/>
        </w:rPr>
        <w:sectPr w:rsidR="00D20A89" w:rsidSect="00D20A89">
          <w:type w:val="continuous"/>
          <w:pgSz w:w="11907" w:h="16840"/>
          <w:pgMar w:top="1701" w:right="1134" w:bottom="1134" w:left="1418" w:header="1134" w:footer="737" w:gutter="0"/>
          <w:pgNumType w:start="1"/>
          <w:cols w:space="720"/>
        </w:sectPr>
      </w:pPr>
    </w:p>
    <w:tbl>
      <w:tblPr>
        <w:tblW w:w="8218" w:type="dxa"/>
        <w:jc w:val="center"/>
        <w:tblLook w:val="04A0" w:firstRow="1" w:lastRow="0" w:firstColumn="1" w:lastColumn="0" w:noHBand="0" w:noVBand="1"/>
      </w:tblPr>
      <w:tblGrid>
        <w:gridCol w:w="4248"/>
        <w:gridCol w:w="1560"/>
        <w:gridCol w:w="2410"/>
      </w:tblGrid>
      <w:tr w:rsidR="00D20A89" w:rsidRPr="00D20A89" w14:paraId="3DE7F82A" w14:textId="77777777" w:rsidTr="00D20A89">
        <w:trPr>
          <w:tblHeade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0A0C9ED" w14:textId="152DDE6B" w:rsidR="00D20A89" w:rsidRPr="00D20A89" w:rsidRDefault="00D20A89" w:rsidP="00D20A89">
            <w:pPr>
              <w:spacing w:line="240" w:lineRule="auto"/>
              <w:jc w:val="center"/>
              <w:rPr>
                <w:b/>
                <w:bCs/>
                <w:iCs/>
                <w:sz w:val="22"/>
                <w:lang w:val="en-ID"/>
              </w:rPr>
            </w:pPr>
            <w:r w:rsidRPr="00D20A89">
              <w:rPr>
                <w:b/>
                <w:bCs/>
                <w:iCs/>
                <w:sz w:val="22"/>
                <w:lang w:val="en-ID"/>
              </w:rPr>
              <w:t>Kejadian Risiko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6F5348" w14:textId="77777777" w:rsidR="00D20A89" w:rsidRPr="00D20A89" w:rsidRDefault="00D20A89" w:rsidP="00D20A89">
            <w:pPr>
              <w:spacing w:line="240" w:lineRule="auto"/>
              <w:jc w:val="center"/>
              <w:rPr>
                <w:b/>
                <w:bCs/>
                <w:iCs/>
                <w:sz w:val="22"/>
                <w:lang w:val="en-ID"/>
              </w:rPr>
            </w:pPr>
            <w:r w:rsidRPr="00D20A89">
              <w:rPr>
                <w:b/>
                <w:bCs/>
                <w:iCs/>
                <w:sz w:val="22"/>
                <w:lang w:val="en-ID"/>
              </w:rPr>
              <w:t>Kode Kejadian Risiko</w:t>
            </w:r>
          </w:p>
        </w:tc>
        <w:tc>
          <w:tcPr>
            <w:tcW w:w="2410" w:type="dxa"/>
            <w:tcBorders>
              <w:top w:val="single" w:sz="4" w:space="0" w:color="auto"/>
              <w:left w:val="single" w:sz="4" w:space="0" w:color="auto"/>
              <w:bottom w:val="single" w:sz="4" w:space="0" w:color="auto"/>
              <w:right w:val="single" w:sz="4" w:space="0" w:color="auto"/>
            </w:tcBorders>
            <w:hideMark/>
          </w:tcPr>
          <w:p w14:paraId="60DA9DE3" w14:textId="77777777" w:rsidR="00D20A89" w:rsidRPr="00D20A89" w:rsidRDefault="00D20A89" w:rsidP="00D20A89">
            <w:pPr>
              <w:spacing w:line="240" w:lineRule="auto"/>
              <w:jc w:val="center"/>
              <w:rPr>
                <w:b/>
                <w:bCs/>
                <w:sz w:val="22"/>
                <w:lang w:val="en-ID"/>
              </w:rPr>
            </w:pPr>
            <w:r w:rsidRPr="00D20A89">
              <w:rPr>
                <w:b/>
                <w:bCs/>
                <w:sz w:val="22"/>
                <w:lang w:val="en-ID"/>
              </w:rPr>
              <w:t>Kemungkinan Dampak Terjadinya Risiko (S)</w:t>
            </w:r>
          </w:p>
        </w:tc>
      </w:tr>
      <w:tr w:rsidR="00D20A89" w:rsidRPr="00D20A89" w14:paraId="2CD5D167"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7282FEA" w14:textId="77777777" w:rsidR="00D20A89" w:rsidRPr="00D20A89" w:rsidRDefault="00D20A89" w:rsidP="00D20A89">
            <w:pPr>
              <w:spacing w:line="240" w:lineRule="auto"/>
              <w:jc w:val="both"/>
              <w:rPr>
                <w:bCs/>
                <w:sz w:val="22"/>
                <w:lang w:val="en-AU"/>
              </w:rPr>
            </w:pPr>
            <w:r w:rsidRPr="00D20A89">
              <w:rPr>
                <w:bCs/>
                <w:sz w:val="22"/>
                <w:lang w:val="en-AU"/>
              </w:rPr>
              <w:t>Kesalahan besaran peramalan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C2D084" w14:textId="77777777" w:rsidR="00D20A89" w:rsidRPr="00D20A89" w:rsidRDefault="00D20A89" w:rsidP="00D20A89">
            <w:pPr>
              <w:spacing w:line="240" w:lineRule="auto"/>
              <w:jc w:val="center"/>
              <w:rPr>
                <w:bCs/>
                <w:sz w:val="22"/>
                <w:lang w:val="en-AU"/>
              </w:rPr>
            </w:pPr>
            <w:r w:rsidRPr="00D20A89">
              <w:rPr>
                <w:bCs/>
                <w:sz w:val="22"/>
                <w:lang w:val="en-AU"/>
              </w:rPr>
              <w:t>E1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C62DBE" w14:textId="77777777" w:rsidR="00D20A89" w:rsidRPr="00D20A89" w:rsidRDefault="00D20A89" w:rsidP="00D20A89">
            <w:pPr>
              <w:spacing w:line="240" w:lineRule="auto"/>
              <w:jc w:val="center"/>
              <w:rPr>
                <w:bCs/>
                <w:sz w:val="22"/>
                <w:lang w:val="en-AU"/>
              </w:rPr>
            </w:pPr>
            <w:r w:rsidRPr="00D20A89">
              <w:rPr>
                <w:bCs/>
                <w:sz w:val="22"/>
                <w:lang w:val="en-AU"/>
              </w:rPr>
              <w:t>7</w:t>
            </w:r>
          </w:p>
        </w:tc>
      </w:tr>
      <w:tr w:rsidR="00D20A89" w:rsidRPr="00D20A89" w14:paraId="4DD104FD"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21CF2E2B" w14:textId="77777777" w:rsidR="00D20A89" w:rsidRPr="00D20A89" w:rsidRDefault="00D20A89" w:rsidP="00D20A89">
            <w:pPr>
              <w:spacing w:line="240" w:lineRule="auto"/>
              <w:jc w:val="both"/>
              <w:rPr>
                <w:bCs/>
                <w:sz w:val="22"/>
                <w:lang w:val="en-AU"/>
              </w:rPr>
            </w:pPr>
            <w:r w:rsidRPr="00D20A89">
              <w:rPr>
                <w:bCs/>
                <w:sz w:val="22"/>
                <w:lang w:val="en-AU"/>
              </w:rPr>
              <w:t>Perubahan rencana produksi yang mendadak</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2AE19E" w14:textId="77777777" w:rsidR="00D20A89" w:rsidRPr="00D20A89" w:rsidRDefault="00D20A89" w:rsidP="00D20A89">
            <w:pPr>
              <w:spacing w:line="240" w:lineRule="auto"/>
              <w:jc w:val="center"/>
              <w:rPr>
                <w:bCs/>
                <w:sz w:val="22"/>
                <w:lang w:val="en-AU"/>
              </w:rPr>
            </w:pPr>
            <w:r w:rsidRPr="00D20A89">
              <w:rPr>
                <w:bCs/>
                <w:sz w:val="22"/>
                <w:lang w:val="en-AU"/>
              </w:rPr>
              <w:t>E2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1E3481" w14:textId="77777777" w:rsidR="00D20A89" w:rsidRPr="00D20A89" w:rsidRDefault="00D20A89" w:rsidP="00D20A89">
            <w:pPr>
              <w:spacing w:line="240" w:lineRule="auto"/>
              <w:jc w:val="center"/>
              <w:rPr>
                <w:bCs/>
                <w:sz w:val="22"/>
                <w:lang w:val="en-AU"/>
              </w:rPr>
            </w:pPr>
            <w:r w:rsidRPr="00D20A89">
              <w:rPr>
                <w:bCs/>
                <w:sz w:val="22"/>
                <w:lang w:val="en-AU"/>
              </w:rPr>
              <w:t>8</w:t>
            </w:r>
          </w:p>
        </w:tc>
      </w:tr>
      <w:tr w:rsidR="00D20A89" w:rsidRPr="00D20A89" w14:paraId="1A110B34"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66B94CBA" w14:textId="77777777" w:rsidR="00D20A89" w:rsidRPr="00D20A89" w:rsidRDefault="00D20A89" w:rsidP="00D20A89">
            <w:pPr>
              <w:spacing w:line="240" w:lineRule="auto"/>
              <w:jc w:val="both"/>
              <w:rPr>
                <w:bCs/>
                <w:sz w:val="22"/>
                <w:lang w:val="en-AU"/>
              </w:rPr>
            </w:pPr>
            <w:r w:rsidRPr="00D20A89">
              <w:rPr>
                <w:bCs/>
                <w:sz w:val="22"/>
                <w:lang w:val="en-AU"/>
              </w:rPr>
              <w:t>Perencanaan permintaan tidak sesuai dengan perencanaan finasial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DC16E35" w14:textId="77777777" w:rsidR="00D20A89" w:rsidRPr="00D20A89" w:rsidRDefault="00D20A89" w:rsidP="00D20A89">
            <w:pPr>
              <w:spacing w:line="240" w:lineRule="auto"/>
              <w:jc w:val="center"/>
              <w:rPr>
                <w:bCs/>
                <w:sz w:val="22"/>
                <w:lang w:val="en-AU"/>
              </w:rPr>
            </w:pPr>
            <w:r w:rsidRPr="00D20A89">
              <w:rPr>
                <w:bCs/>
                <w:sz w:val="22"/>
                <w:lang w:val="en-AU"/>
              </w:rPr>
              <w:t>E3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0ADE403" w14:textId="77777777" w:rsidR="00D20A89" w:rsidRPr="00D20A89" w:rsidRDefault="00D20A89" w:rsidP="00D20A89">
            <w:pPr>
              <w:spacing w:line="240" w:lineRule="auto"/>
              <w:jc w:val="center"/>
              <w:rPr>
                <w:bCs/>
                <w:sz w:val="22"/>
                <w:lang w:val="en-AU"/>
              </w:rPr>
            </w:pPr>
            <w:r w:rsidRPr="00D20A89">
              <w:rPr>
                <w:bCs/>
                <w:sz w:val="22"/>
                <w:lang w:val="en-AU"/>
              </w:rPr>
              <w:t>5,1</w:t>
            </w:r>
          </w:p>
        </w:tc>
      </w:tr>
      <w:tr w:rsidR="00D20A89" w:rsidRPr="00D20A89" w14:paraId="2F1BF9FF"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AE781A4" w14:textId="77777777" w:rsidR="00D20A89" w:rsidRPr="00D20A89" w:rsidRDefault="00D20A89" w:rsidP="00D20A89">
            <w:pPr>
              <w:spacing w:line="240" w:lineRule="auto"/>
              <w:jc w:val="both"/>
              <w:rPr>
                <w:bCs/>
                <w:sz w:val="22"/>
                <w:lang w:val="en-AU"/>
              </w:rPr>
            </w:pPr>
            <w:r w:rsidRPr="00D20A89">
              <w:rPr>
                <w:bCs/>
                <w:sz w:val="22"/>
                <w:lang w:val="en-AU"/>
              </w:rPr>
              <w:t>Perencanaan kapasitas yang tidak sesuai dengan yang direncanakan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652973" w14:textId="77777777" w:rsidR="00D20A89" w:rsidRPr="00D20A89" w:rsidRDefault="00D20A89" w:rsidP="00D20A89">
            <w:pPr>
              <w:spacing w:line="240" w:lineRule="auto"/>
              <w:jc w:val="center"/>
              <w:rPr>
                <w:bCs/>
                <w:sz w:val="22"/>
                <w:lang w:val="en-AU"/>
              </w:rPr>
            </w:pPr>
            <w:r w:rsidRPr="00D20A89">
              <w:rPr>
                <w:bCs/>
                <w:sz w:val="22"/>
                <w:lang w:val="en-AU"/>
              </w:rPr>
              <w:t>E4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F3F572" w14:textId="77777777" w:rsidR="00D20A89" w:rsidRPr="00D20A89" w:rsidRDefault="00D20A89" w:rsidP="00D20A89">
            <w:pPr>
              <w:spacing w:line="240" w:lineRule="auto"/>
              <w:jc w:val="center"/>
              <w:rPr>
                <w:bCs/>
                <w:sz w:val="22"/>
                <w:lang w:val="en-AU"/>
              </w:rPr>
            </w:pPr>
            <w:r w:rsidRPr="00D20A89">
              <w:rPr>
                <w:bCs/>
                <w:sz w:val="22"/>
                <w:lang w:val="en-AU"/>
              </w:rPr>
              <w:t>7,6</w:t>
            </w:r>
          </w:p>
        </w:tc>
      </w:tr>
      <w:tr w:rsidR="00D20A89" w:rsidRPr="00D20A89" w14:paraId="721AF8E1"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5F526E79" w14:textId="77777777" w:rsidR="00D20A89" w:rsidRPr="00D20A89" w:rsidRDefault="00D20A89" w:rsidP="00D20A89">
            <w:pPr>
              <w:spacing w:line="240" w:lineRule="auto"/>
              <w:jc w:val="both"/>
              <w:rPr>
                <w:bCs/>
                <w:sz w:val="22"/>
                <w:lang w:val="en-AU"/>
              </w:rPr>
            </w:pPr>
            <w:r w:rsidRPr="00D20A89">
              <w:rPr>
                <w:bCs/>
                <w:sz w:val="22"/>
                <w:lang w:val="en-AU"/>
              </w:rPr>
              <w:t>Terganggunya pasokan bibit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64F2B1" w14:textId="77777777" w:rsidR="00D20A89" w:rsidRPr="00D20A89" w:rsidRDefault="00D20A89" w:rsidP="00D20A89">
            <w:pPr>
              <w:spacing w:line="240" w:lineRule="auto"/>
              <w:jc w:val="center"/>
              <w:rPr>
                <w:bCs/>
                <w:sz w:val="22"/>
                <w:lang w:val="en-AU"/>
              </w:rPr>
            </w:pPr>
            <w:r w:rsidRPr="00D20A89">
              <w:rPr>
                <w:bCs/>
                <w:sz w:val="22"/>
                <w:lang w:val="en-AU"/>
              </w:rPr>
              <w:t>E5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BF6F3A" w14:textId="77777777" w:rsidR="00D20A89" w:rsidRPr="00D20A89" w:rsidRDefault="00D20A89" w:rsidP="00D20A89">
            <w:pPr>
              <w:spacing w:line="240" w:lineRule="auto"/>
              <w:jc w:val="center"/>
              <w:rPr>
                <w:bCs/>
                <w:sz w:val="22"/>
                <w:lang w:val="en-AU"/>
              </w:rPr>
            </w:pPr>
            <w:r w:rsidRPr="00D20A89">
              <w:rPr>
                <w:bCs/>
                <w:sz w:val="22"/>
                <w:lang w:val="en-AU"/>
              </w:rPr>
              <w:t>8,6</w:t>
            </w:r>
          </w:p>
        </w:tc>
      </w:tr>
      <w:tr w:rsidR="00D20A89" w:rsidRPr="00D20A89" w14:paraId="4FE7E9B0"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FCAD6C3" w14:textId="77777777" w:rsidR="00D20A89" w:rsidRPr="00D20A89" w:rsidRDefault="00D20A89" w:rsidP="00D20A89">
            <w:pPr>
              <w:spacing w:line="240" w:lineRule="auto"/>
              <w:jc w:val="both"/>
              <w:rPr>
                <w:bCs/>
                <w:sz w:val="22"/>
                <w:lang w:val="en-AU"/>
              </w:rPr>
            </w:pPr>
            <w:r w:rsidRPr="00D20A89">
              <w:rPr>
                <w:bCs/>
                <w:sz w:val="22"/>
                <w:lang w:val="en-AU"/>
              </w:rPr>
              <w:t>Kualitas bibit yang tidak memenuhi kualifikasi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9DB69A" w14:textId="77777777" w:rsidR="00D20A89" w:rsidRPr="00D20A89" w:rsidRDefault="00D20A89" w:rsidP="00D20A89">
            <w:pPr>
              <w:spacing w:line="240" w:lineRule="auto"/>
              <w:jc w:val="center"/>
              <w:rPr>
                <w:bCs/>
                <w:sz w:val="22"/>
                <w:lang w:val="en-AU"/>
              </w:rPr>
            </w:pPr>
            <w:r w:rsidRPr="00D20A89">
              <w:rPr>
                <w:bCs/>
                <w:sz w:val="22"/>
                <w:lang w:val="en-AU"/>
              </w:rPr>
              <w:t>E6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7321E4" w14:textId="77777777" w:rsidR="00D20A89" w:rsidRPr="00D20A89" w:rsidRDefault="00D20A89" w:rsidP="00D20A89">
            <w:pPr>
              <w:spacing w:line="240" w:lineRule="auto"/>
              <w:jc w:val="center"/>
              <w:rPr>
                <w:bCs/>
                <w:sz w:val="22"/>
                <w:lang w:val="en-AU"/>
              </w:rPr>
            </w:pPr>
            <w:r w:rsidRPr="00D20A89">
              <w:rPr>
                <w:bCs/>
                <w:sz w:val="22"/>
                <w:lang w:val="en-AU"/>
              </w:rPr>
              <w:t>8,7</w:t>
            </w:r>
          </w:p>
        </w:tc>
      </w:tr>
      <w:tr w:rsidR="00D20A89" w:rsidRPr="00D20A89" w14:paraId="7F3C4239"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0EFCF82E" w14:textId="77777777" w:rsidR="00D20A89" w:rsidRPr="00D20A89" w:rsidRDefault="00D20A89" w:rsidP="00D20A89">
            <w:pPr>
              <w:spacing w:line="240" w:lineRule="auto"/>
              <w:jc w:val="both"/>
              <w:rPr>
                <w:bCs/>
                <w:sz w:val="22"/>
                <w:lang w:val="en-AU"/>
              </w:rPr>
            </w:pPr>
            <w:r w:rsidRPr="00D20A89">
              <w:rPr>
                <w:bCs/>
                <w:sz w:val="22"/>
                <w:lang w:val="en-AU"/>
              </w:rPr>
              <w:t xml:space="preserve">Kesalahan item yang dikirim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C9BE20" w14:textId="77777777" w:rsidR="00D20A89" w:rsidRPr="00D20A89" w:rsidRDefault="00D20A89" w:rsidP="00D20A89">
            <w:pPr>
              <w:spacing w:line="240" w:lineRule="auto"/>
              <w:jc w:val="center"/>
              <w:rPr>
                <w:bCs/>
                <w:sz w:val="22"/>
                <w:lang w:val="en-AU"/>
              </w:rPr>
            </w:pPr>
            <w:r w:rsidRPr="00D20A89">
              <w:rPr>
                <w:bCs/>
                <w:sz w:val="22"/>
                <w:lang w:val="en-AU"/>
              </w:rPr>
              <w:t>E7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8F9B0D" w14:textId="77777777" w:rsidR="00D20A89" w:rsidRPr="00D20A89" w:rsidRDefault="00D20A89" w:rsidP="00D20A89">
            <w:pPr>
              <w:spacing w:line="240" w:lineRule="auto"/>
              <w:jc w:val="center"/>
              <w:rPr>
                <w:bCs/>
                <w:sz w:val="22"/>
                <w:lang w:val="en-AU"/>
              </w:rPr>
            </w:pPr>
            <w:r w:rsidRPr="00D20A89">
              <w:rPr>
                <w:bCs/>
                <w:sz w:val="22"/>
                <w:lang w:val="en-AU"/>
              </w:rPr>
              <w:t>6,4</w:t>
            </w:r>
          </w:p>
        </w:tc>
      </w:tr>
      <w:tr w:rsidR="00D20A89" w:rsidRPr="00D20A89" w14:paraId="374293C2"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45C57254" w14:textId="77777777" w:rsidR="00D20A89" w:rsidRPr="00D20A89" w:rsidRDefault="00D20A89" w:rsidP="00D20A89">
            <w:pPr>
              <w:spacing w:line="240" w:lineRule="auto"/>
              <w:jc w:val="both"/>
              <w:rPr>
                <w:bCs/>
                <w:sz w:val="22"/>
                <w:lang w:val="en-AU"/>
              </w:rPr>
            </w:pPr>
            <w:r w:rsidRPr="00D20A89">
              <w:rPr>
                <w:bCs/>
                <w:sz w:val="22"/>
                <w:lang w:val="en-AU"/>
              </w:rPr>
              <w:t>Hasil Produksi Menurun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2BFD077" w14:textId="77777777" w:rsidR="00D20A89" w:rsidRPr="00D20A89" w:rsidRDefault="00D20A89" w:rsidP="00D20A89">
            <w:pPr>
              <w:spacing w:line="240" w:lineRule="auto"/>
              <w:jc w:val="center"/>
              <w:rPr>
                <w:bCs/>
                <w:sz w:val="22"/>
                <w:lang w:val="en-AU"/>
              </w:rPr>
            </w:pPr>
            <w:r w:rsidRPr="00D20A89">
              <w:rPr>
                <w:bCs/>
                <w:sz w:val="22"/>
                <w:lang w:val="en-AU"/>
              </w:rPr>
              <w:t>E8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AD37CD" w14:textId="77777777" w:rsidR="00D20A89" w:rsidRPr="00D20A89" w:rsidRDefault="00D20A89" w:rsidP="00D20A89">
            <w:pPr>
              <w:spacing w:line="240" w:lineRule="auto"/>
              <w:jc w:val="center"/>
              <w:rPr>
                <w:bCs/>
                <w:sz w:val="22"/>
                <w:lang w:val="en-AU"/>
              </w:rPr>
            </w:pPr>
            <w:r w:rsidRPr="00D20A89">
              <w:rPr>
                <w:bCs/>
                <w:sz w:val="22"/>
                <w:lang w:val="en-AU"/>
              </w:rPr>
              <w:t>7,7</w:t>
            </w:r>
          </w:p>
        </w:tc>
      </w:tr>
      <w:tr w:rsidR="00D20A89" w:rsidRPr="00D20A89" w14:paraId="108D36BF"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02B3C9E" w14:textId="77777777" w:rsidR="00D20A89" w:rsidRPr="00D20A89" w:rsidRDefault="00D20A89" w:rsidP="00D20A89">
            <w:pPr>
              <w:spacing w:line="240" w:lineRule="auto"/>
              <w:jc w:val="both"/>
              <w:rPr>
                <w:bCs/>
                <w:sz w:val="22"/>
                <w:lang w:val="en-AU"/>
              </w:rPr>
            </w:pPr>
            <w:r w:rsidRPr="00D20A89">
              <w:rPr>
                <w:bCs/>
                <w:sz w:val="22"/>
                <w:lang w:val="en-AU"/>
              </w:rPr>
              <w:t>Kualitas Produk Tidak Memenuhi Kualifikasi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C12348" w14:textId="77777777" w:rsidR="00D20A89" w:rsidRPr="00D20A89" w:rsidRDefault="00D20A89" w:rsidP="00D20A89">
            <w:pPr>
              <w:spacing w:line="240" w:lineRule="auto"/>
              <w:jc w:val="center"/>
              <w:rPr>
                <w:bCs/>
                <w:sz w:val="22"/>
                <w:lang w:val="en-AU"/>
              </w:rPr>
            </w:pPr>
            <w:r w:rsidRPr="00D20A89">
              <w:rPr>
                <w:bCs/>
                <w:sz w:val="22"/>
                <w:lang w:val="en-AU"/>
              </w:rPr>
              <w:t>E9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736F9A" w14:textId="77777777" w:rsidR="00D20A89" w:rsidRPr="00D20A89" w:rsidRDefault="00D20A89" w:rsidP="00D20A89">
            <w:pPr>
              <w:spacing w:line="240" w:lineRule="auto"/>
              <w:jc w:val="center"/>
              <w:rPr>
                <w:bCs/>
                <w:sz w:val="22"/>
                <w:lang w:val="en-AU"/>
              </w:rPr>
            </w:pPr>
            <w:r w:rsidRPr="00D20A89">
              <w:rPr>
                <w:bCs/>
                <w:sz w:val="22"/>
                <w:lang w:val="en-AU"/>
              </w:rPr>
              <w:t>9</w:t>
            </w:r>
          </w:p>
        </w:tc>
      </w:tr>
      <w:tr w:rsidR="00D20A89" w:rsidRPr="00D20A89" w14:paraId="56265659" w14:textId="77777777" w:rsidTr="00D20A89">
        <w:trPr>
          <w:jc w:val="center"/>
        </w:trPr>
        <w:tc>
          <w:tcPr>
            <w:tcW w:w="4248" w:type="dxa"/>
            <w:tcBorders>
              <w:top w:val="single" w:sz="4" w:space="0" w:color="auto"/>
              <w:left w:val="single" w:sz="4" w:space="0" w:color="auto"/>
              <w:bottom w:val="single" w:sz="4" w:space="0" w:color="auto"/>
              <w:right w:val="single" w:sz="4" w:space="0" w:color="auto"/>
            </w:tcBorders>
            <w:vAlign w:val="center"/>
            <w:hideMark/>
          </w:tcPr>
          <w:p w14:paraId="147A0206" w14:textId="77777777" w:rsidR="00D20A89" w:rsidRPr="00D20A89" w:rsidRDefault="00D20A89" w:rsidP="00D20A89">
            <w:pPr>
              <w:spacing w:line="240" w:lineRule="auto"/>
              <w:jc w:val="both"/>
              <w:rPr>
                <w:bCs/>
                <w:sz w:val="22"/>
                <w:lang w:val="en-AU"/>
              </w:rPr>
            </w:pPr>
            <w:r w:rsidRPr="00D20A89">
              <w:rPr>
                <w:bCs/>
                <w:sz w:val="22"/>
                <w:lang w:val="en-AU"/>
              </w:rPr>
              <w:lastRenderedPageBreak/>
              <w:t>Keterlambatan Proses Distribusi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AC6258" w14:textId="77777777" w:rsidR="00D20A89" w:rsidRPr="00D20A89" w:rsidRDefault="00D20A89" w:rsidP="00D20A89">
            <w:pPr>
              <w:spacing w:line="240" w:lineRule="auto"/>
              <w:jc w:val="center"/>
              <w:rPr>
                <w:bCs/>
                <w:sz w:val="22"/>
                <w:lang w:val="en-AU"/>
              </w:rPr>
            </w:pPr>
            <w:r w:rsidRPr="00D20A89">
              <w:rPr>
                <w:bCs/>
                <w:sz w:val="22"/>
                <w:lang w:val="en-AU"/>
              </w:rPr>
              <w:t>E10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458C5C" w14:textId="77777777" w:rsidR="00D20A89" w:rsidRPr="00D20A89" w:rsidRDefault="00D20A89" w:rsidP="00D20A89">
            <w:pPr>
              <w:spacing w:line="240" w:lineRule="auto"/>
              <w:jc w:val="center"/>
              <w:rPr>
                <w:bCs/>
                <w:sz w:val="22"/>
                <w:lang w:val="en-AU"/>
              </w:rPr>
            </w:pPr>
            <w:r w:rsidRPr="00D20A89">
              <w:rPr>
                <w:bCs/>
                <w:sz w:val="22"/>
                <w:lang w:val="en-AU"/>
              </w:rPr>
              <w:t>7,4</w:t>
            </w:r>
          </w:p>
        </w:tc>
      </w:tr>
    </w:tbl>
    <w:p w14:paraId="26751BE2" w14:textId="77777777" w:rsidR="00D20A89" w:rsidRDefault="00D20A89" w:rsidP="00D20A89">
      <w:pPr>
        <w:spacing w:line="240" w:lineRule="auto"/>
        <w:jc w:val="both"/>
        <w:rPr>
          <w:bCs/>
          <w:sz w:val="22"/>
          <w:lang w:val="en-ID"/>
        </w:rPr>
        <w:sectPr w:rsidR="00D20A89" w:rsidSect="00D20A89">
          <w:type w:val="continuous"/>
          <w:pgSz w:w="11907" w:h="16840"/>
          <w:pgMar w:top="1701" w:right="1134" w:bottom="1134" w:left="1418" w:header="1134" w:footer="737" w:gutter="0"/>
          <w:pgNumType w:start="1"/>
          <w:cols w:space="720"/>
        </w:sectPr>
      </w:pPr>
    </w:p>
    <w:p w14:paraId="17D00133" w14:textId="77777777" w:rsidR="00D20A89" w:rsidRPr="00D20A89" w:rsidRDefault="00D20A89" w:rsidP="00D20A89">
      <w:pPr>
        <w:spacing w:line="240" w:lineRule="auto"/>
        <w:jc w:val="both"/>
        <w:rPr>
          <w:bCs/>
          <w:sz w:val="22"/>
          <w:lang w:val="en-ID"/>
        </w:rPr>
      </w:pPr>
      <w:r w:rsidRPr="00D20A89">
        <w:rPr>
          <w:bCs/>
          <w:sz w:val="22"/>
          <w:lang w:val="en-ID"/>
        </w:rPr>
        <w:t xml:space="preserve">Hal pertama yang menjadi kebaruan pada penelitian ini adalah menentukan nilai pembobotan atau proporsi yang berbeda terhadap masing-masing kejadian risiko yang kemungkian terjadi. Salah satu metode yang dapat dilakukan untuk menyelesaikan permasalahan tersebut adalah </w:t>
      </w:r>
      <w:r w:rsidRPr="00D20A89">
        <w:rPr>
          <w:bCs/>
          <w:i/>
          <w:sz w:val="22"/>
          <w:lang w:val="en-AU"/>
        </w:rPr>
        <w:t xml:space="preserve">Analytical Hierarchy Process </w:t>
      </w:r>
      <w:r w:rsidRPr="00D20A89">
        <w:rPr>
          <w:bCs/>
          <w:sz w:val="22"/>
          <w:lang w:val="en-AU"/>
        </w:rPr>
        <w:t>(AHP) yang dapat membantu memberikan proporsi berbeda pada masing-masing kriteria maupun kejadian risiko (Gaudenzi dan Borghesi, 2006).</w:t>
      </w:r>
      <w:r w:rsidRPr="00D20A89">
        <w:rPr>
          <w:bCs/>
          <w:sz w:val="22"/>
          <w:lang w:val="en-ID"/>
        </w:rPr>
        <w:t xml:space="preserve"> Skala yang digunakan dalam penentuan </w:t>
      </w:r>
      <w:r w:rsidRPr="00D20A89">
        <w:rPr>
          <w:bCs/>
          <w:sz w:val="22"/>
          <w:lang w:val="en-ID"/>
        </w:rPr>
        <w:t xml:space="preserve">penentuan menggunakan AHP menggunakan skala yang terdapat pada tabel 3.3. </w:t>
      </w:r>
      <w:proofErr w:type="gramStart"/>
      <w:r w:rsidRPr="00D20A89">
        <w:rPr>
          <w:bCs/>
          <w:sz w:val="22"/>
          <w:lang w:val="en-ID"/>
        </w:rPr>
        <w:t>dengan</w:t>
      </w:r>
      <w:proofErr w:type="gramEnd"/>
      <w:r w:rsidRPr="00D20A89">
        <w:rPr>
          <w:bCs/>
          <w:sz w:val="22"/>
          <w:lang w:val="en-ID"/>
        </w:rPr>
        <w:t xml:space="preserve"> tingkat skala 1-9, dengan arti bahwa nilai 1 (keduanya memiliki pengaruh yang sama) sampai dengan nilai 9 (satu elemen mutlak lebih disukasi dibandingkan dengan elemen yang lain pada tingkat keyakinan yang sangat tinggi) (Saaty, 1993). Setelah dilakukan perhitungan maka didapatkan hasil pebobotan kejadian risiko sebagai berikut:</w:t>
      </w:r>
    </w:p>
    <w:p w14:paraId="21CAD214" w14:textId="77777777" w:rsidR="00D20A89" w:rsidRPr="00D20A89" w:rsidRDefault="00D20A89" w:rsidP="00D20A89">
      <w:pPr>
        <w:spacing w:line="240" w:lineRule="auto"/>
        <w:jc w:val="both"/>
        <w:rPr>
          <w:b/>
          <w:bCs/>
          <w:sz w:val="22"/>
          <w:lang w:val="en-ID"/>
        </w:rPr>
        <w:sectPr w:rsidR="00D20A89" w:rsidRPr="00D20A89" w:rsidSect="00D20A89">
          <w:type w:val="continuous"/>
          <w:pgSz w:w="11907" w:h="16840"/>
          <w:pgMar w:top="2637" w:right="851" w:bottom="1134" w:left="1134" w:header="720" w:footer="720" w:gutter="0"/>
          <w:cols w:num="2" w:space="720"/>
        </w:sectPr>
      </w:pPr>
    </w:p>
    <w:p w14:paraId="7CEA06DA" w14:textId="77777777" w:rsidR="00D20A89" w:rsidRPr="00D20A89" w:rsidRDefault="00D20A89" w:rsidP="00D20A89">
      <w:pPr>
        <w:spacing w:line="240" w:lineRule="auto"/>
        <w:jc w:val="both"/>
        <w:rPr>
          <w:b/>
          <w:bCs/>
          <w:sz w:val="22"/>
          <w:lang w:val="en-ID"/>
        </w:rPr>
      </w:pPr>
    </w:p>
    <w:p w14:paraId="0B41F0FC" w14:textId="77777777" w:rsidR="00D20A89" w:rsidRDefault="00D20A89" w:rsidP="00D20A89">
      <w:pPr>
        <w:spacing w:line="240" w:lineRule="auto"/>
        <w:jc w:val="both"/>
        <w:rPr>
          <w:b/>
          <w:bCs/>
          <w:sz w:val="22"/>
          <w:lang w:val="en-ID"/>
        </w:rPr>
        <w:sectPr w:rsidR="00D20A89" w:rsidSect="00D20A89">
          <w:type w:val="continuous"/>
          <w:pgSz w:w="11907" w:h="16840" w:code="9"/>
          <w:pgMar w:top="1440" w:right="1440" w:bottom="1440" w:left="1440" w:header="720" w:footer="720" w:gutter="0"/>
          <w:cols w:num="2" w:space="708"/>
          <w:docGrid w:linePitch="360"/>
        </w:sectPr>
      </w:pPr>
    </w:p>
    <w:p w14:paraId="3915E53D" w14:textId="4133F85C" w:rsidR="00D20A89" w:rsidRPr="00D20A89" w:rsidRDefault="00D20A89" w:rsidP="00D20A89">
      <w:pPr>
        <w:spacing w:line="240" w:lineRule="auto"/>
        <w:jc w:val="center"/>
        <w:rPr>
          <w:b/>
          <w:bCs/>
          <w:sz w:val="22"/>
          <w:lang w:val="en-ID"/>
        </w:rPr>
      </w:pPr>
      <w:r>
        <w:rPr>
          <w:b/>
          <w:bCs/>
          <w:sz w:val="22"/>
          <w:lang w:val="en-ID"/>
        </w:rPr>
        <w:t>Tabel 4</w:t>
      </w:r>
      <w:r w:rsidRPr="00D20A89">
        <w:rPr>
          <w:b/>
          <w:bCs/>
          <w:sz w:val="22"/>
          <w:lang w:val="en-ID"/>
        </w:rPr>
        <w:t>.3. Hasil Pembobotan Kejadian Risiko</w:t>
      </w:r>
    </w:p>
    <w:p w14:paraId="0FDCD907" w14:textId="77777777" w:rsidR="00D20A89" w:rsidRDefault="00D20A89" w:rsidP="00D20A89">
      <w:pPr>
        <w:spacing w:line="240" w:lineRule="auto"/>
        <w:jc w:val="both"/>
        <w:rPr>
          <w:b/>
          <w:bCs/>
          <w:iCs/>
          <w:sz w:val="22"/>
          <w:lang w:val="en-ID"/>
        </w:rPr>
        <w:sectPr w:rsidR="00D20A89" w:rsidSect="00D20A89">
          <w:type w:val="continuous"/>
          <w:pgSz w:w="11907" w:h="16840" w:code="9"/>
          <w:pgMar w:top="1440" w:right="1440" w:bottom="1440" w:left="1440" w:header="720" w:footer="720" w:gutter="0"/>
          <w:cols w:space="708"/>
          <w:docGrid w:linePitch="360"/>
        </w:sectPr>
      </w:pPr>
    </w:p>
    <w:tbl>
      <w:tblPr>
        <w:tblW w:w="7224" w:type="dxa"/>
        <w:jc w:val="center"/>
        <w:tblLook w:val="04A0" w:firstRow="1" w:lastRow="0" w:firstColumn="1" w:lastColumn="0" w:noHBand="0" w:noVBand="1"/>
      </w:tblPr>
      <w:tblGrid>
        <w:gridCol w:w="3964"/>
        <w:gridCol w:w="2268"/>
        <w:gridCol w:w="992"/>
      </w:tblGrid>
      <w:tr w:rsidR="00D20A89" w:rsidRPr="00D20A89" w14:paraId="0FF4117B" w14:textId="77777777" w:rsidTr="00D20A89">
        <w:trPr>
          <w:trHeight w:val="511"/>
          <w:tblHeader/>
          <w:jc w:val="center"/>
        </w:trPr>
        <w:tc>
          <w:tcPr>
            <w:tcW w:w="3964" w:type="dxa"/>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hideMark/>
          </w:tcPr>
          <w:p w14:paraId="18081B5F" w14:textId="7BC6ACB7" w:rsidR="00D20A89" w:rsidRPr="00D20A89" w:rsidRDefault="00D20A89" w:rsidP="00D20A89">
            <w:pPr>
              <w:spacing w:line="240" w:lineRule="auto"/>
              <w:jc w:val="center"/>
              <w:rPr>
                <w:b/>
                <w:bCs/>
                <w:sz w:val="22"/>
                <w:lang w:val="en-ID"/>
              </w:rPr>
            </w:pPr>
            <w:r w:rsidRPr="00D20A89">
              <w:rPr>
                <w:b/>
                <w:bCs/>
                <w:iCs/>
                <w:sz w:val="22"/>
                <w:lang w:val="en-ID"/>
              </w:rPr>
              <w:t>Kejadian Risiko</w:t>
            </w:r>
          </w:p>
        </w:tc>
        <w:tc>
          <w:tcPr>
            <w:tcW w:w="226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0A0EC68F" w14:textId="77777777" w:rsidR="00D20A89" w:rsidRPr="00D20A89" w:rsidRDefault="00D20A89" w:rsidP="00D20A89">
            <w:pPr>
              <w:spacing w:line="240" w:lineRule="auto"/>
              <w:jc w:val="center"/>
              <w:rPr>
                <w:b/>
                <w:bCs/>
                <w:sz w:val="22"/>
                <w:lang w:val="en-ID"/>
              </w:rPr>
            </w:pPr>
            <w:r w:rsidRPr="00D20A89">
              <w:rPr>
                <w:b/>
                <w:bCs/>
                <w:sz w:val="22"/>
                <w:lang w:val="en-ID"/>
              </w:rPr>
              <w:t>Kode Kejadian Risiko</w:t>
            </w:r>
          </w:p>
        </w:tc>
        <w:tc>
          <w:tcPr>
            <w:tcW w:w="992"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73E41484" w14:textId="77777777" w:rsidR="00D20A89" w:rsidRPr="00D20A89" w:rsidRDefault="00D20A89" w:rsidP="00D20A89">
            <w:pPr>
              <w:spacing w:line="240" w:lineRule="auto"/>
              <w:jc w:val="center"/>
              <w:rPr>
                <w:b/>
                <w:bCs/>
                <w:sz w:val="22"/>
                <w:lang w:val="en-ID"/>
              </w:rPr>
            </w:pPr>
            <w:r w:rsidRPr="00D20A89">
              <w:rPr>
                <w:b/>
                <w:bCs/>
                <w:sz w:val="22"/>
                <w:lang w:val="en-ID"/>
              </w:rPr>
              <w:t>Bobot</w:t>
            </w:r>
          </w:p>
        </w:tc>
      </w:tr>
      <w:tr w:rsidR="00D20A89" w:rsidRPr="00D20A89" w14:paraId="0DAAAF09" w14:textId="77777777" w:rsidTr="00D20A89">
        <w:trPr>
          <w:trHeight w:val="315"/>
          <w:jc w:val="center"/>
        </w:trPr>
        <w:tc>
          <w:tcPr>
            <w:tcW w:w="3964" w:type="dxa"/>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hideMark/>
          </w:tcPr>
          <w:p w14:paraId="214F432C" w14:textId="77777777" w:rsidR="00D20A89" w:rsidRPr="00D20A89" w:rsidRDefault="00D20A89" w:rsidP="00D20A89">
            <w:pPr>
              <w:spacing w:line="240" w:lineRule="auto"/>
              <w:jc w:val="both"/>
              <w:rPr>
                <w:bCs/>
                <w:sz w:val="22"/>
                <w:lang w:val="en-AU"/>
              </w:rPr>
            </w:pPr>
            <w:r w:rsidRPr="00D20A89">
              <w:rPr>
                <w:bCs/>
                <w:sz w:val="22"/>
                <w:lang w:val="en-AU"/>
              </w:rPr>
              <w:t>Kesalahan besaran peramalan</w:t>
            </w:r>
          </w:p>
        </w:tc>
        <w:tc>
          <w:tcPr>
            <w:tcW w:w="226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78D0BE41" w14:textId="77777777" w:rsidR="00D20A89" w:rsidRPr="00D20A89" w:rsidRDefault="00D20A89" w:rsidP="00D20A89">
            <w:pPr>
              <w:spacing w:line="240" w:lineRule="auto"/>
              <w:jc w:val="center"/>
              <w:rPr>
                <w:bCs/>
                <w:sz w:val="22"/>
                <w:lang w:val="en-ID"/>
              </w:rPr>
            </w:pPr>
            <w:r w:rsidRPr="00D20A89">
              <w:rPr>
                <w:bCs/>
                <w:sz w:val="22"/>
                <w:lang w:val="en-AU"/>
              </w:rPr>
              <w:t>E1</w:t>
            </w:r>
          </w:p>
        </w:tc>
        <w:tc>
          <w:tcPr>
            <w:tcW w:w="992"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7B1FCA8E" w14:textId="77777777" w:rsidR="00D20A89" w:rsidRPr="00D20A89" w:rsidRDefault="00D20A89" w:rsidP="00D20A89">
            <w:pPr>
              <w:spacing w:line="240" w:lineRule="auto"/>
              <w:jc w:val="center"/>
              <w:rPr>
                <w:bCs/>
                <w:sz w:val="22"/>
                <w:lang w:val="en-AU"/>
              </w:rPr>
            </w:pPr>
            <w:r w:rsidRPr="00D20A89">
              <w:rPr>
                <w:bCs/>
                <w:sz w:val="22"/>
                <w:lang w:val="en-AU"/>
              </w:rPr>
              <w:t>0,076</w:t>
            </w:r>
          </w:p>
        </w:tc>
      </w:tr>
      <w:tr w:rsidR="00D20A89" w:rsidRPr="00D20A89" w14:paraId="548066A5" w14:textId="77777777" w:rsidTr="00D20A89">
        <w:trPr>
          <w:trHeight w:val="315"/>
          <w:jc w:val="center"/>
        </w:trPr>
        <w:tc>
          <w:tcPr>
            <w:tcW w:w="3964" w:type="dxa"/>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hideMark/>
          </w:tcPr>
          <w:p w14:paraId="6809B313" w14:textId="77777777" w:rsidR="00D20A89" w:rsidRPr="00D20A89" w:rsidRDefault="00D20A89" w:rsidP="00D20A89">
            <w:pPr>
              <w:spacing w:line="240" w:lineRule="auto"/>
              <w:jc w:val="both"/>
              <w:rPr>
                <w:bCs/>
                <w:sz w:val="22"/>
                <w:lang w:val="en-AU"/>
              </w:rPr>
            </w:pPr>
            <w:r w:rsidRPr="00D20A89">
              <w:rPr>
                <w:bCs/>
                <w:sz w:val="22"/>
                <w:lang w:val="en-AU"/>
              </w:rPr>
              <w:t>Perubahan rencana produksi yang mendadak</w:t>
            </w:r>
          </w:p>
        </w:tc>
        <w:tc>
          <w:tcPr>
            <w:tcW w:w="226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5727D2B1" w14:textId="77777777" w:rsidR="00D20A89" w:rsidRPr="00D20A89" w:rsidRDefault="00D20A89" w:rsidP="00D20A89">
            <w:pPr>
              <w:spacing w:line="240" w:lineRule="auto"/>
              <w:jc w:val="center"/>
              <w:rPr>
                <w:bCs/>
                <w:sz w:val="22"/>
                <w:lang w:val="en-ID"/>
              </w:rPr>
            </w:pPr>
            <w:r w:rsidRPr="00D20A89">
              <w:rPr>
                <w:bCs/>
                <w:sz w:val="22"/>
                <w:lang w:val="en-AU"/>
              </w:rPr>
              <w:t>E2</w:t>
            </w:r>
          </w:p>
        </w:tc>
        <w:tc>
          <w:tcPr>
            <w:tcW w:w="992"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2DCAB4A2" w14:textId="77777777" w:rsidR="00D20A89" w:rsidRPr="00D20A89" w:rsidRDefault="00D20A89" w:rsidP="00D20A89">
            <w:pPr>
              <w:spacing w:line="240" w:lineRule="auto"/>
              <w:jc w:val="center"/>
              <w:rPr>
                <w:bCs/>
                <w:sz w:val="22"/>
                <w:lang w:val="en-AU"/>
              </w:rPr>
            </w:pPr>
            <w:r w:rsidRPr="00D20A89">
              <w:rPr>
                <w:bCs/>
                <w:sz w:val="22"/>
                <w:lang w:val="en-AU"/>
              </w:rPr>
              <w:t>0,043</w:t>
            </w:r>
          </w:p>
        </w:tc>
      </w:tr>
      <w:tr w:rsidR="00D20A89" w:rsidRPr="00D20A89" w14:paraId="77527F3B" w14:textId="77777777" w:rsidTr="00D20A89">
        <w:trPr>
          <w:trHeight w:val="315"/>
          <w:jc w:val="center"/>
        </w:trPr>
        <w:tc>
          <w:tcPr>
            <w:tcW w:w="3964" w:type="dxa"/>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hideMark/>
          </w:tcPr>
          <w:p w14:paraId="5CEE9FD5" w14:textId="77777777" w:rsidR="00D20A89" w:rsidRPr="00D20A89" w:rsidRDefault="00D20A89" w:rsidP="00D20A89">
            <w:pPr>
              <w:spacing w:line="240" w:lineRule="auto"/>
              <w:jc w:val="both"/>
              <w:rPr>
                <w:bCs/>
                <w:sz w:val="22"/>
                <w:lang w:val="en-AU"/>
              </w:rPr>
            </w:pPr>
            <w:r w:rsidRPr="00D20A89">
              <w:rPr>
                <w:bCs/>
                <w:sz w:val="22"/>
                <w:lang w:val="en-AU"/>
              </w:rPr>
              <w:t>Perencanaan permintaan tidak sesuai dengan perencanaan finasial</w:t>
            </w:r>
          </w:p>
        </w:tc>
        <w:tc>
          <w:tcPr>
            <w:tcW w:w="226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49768AB1" w14:textId="77777777" w:rsidR="00D20A89" w:rsidRPr="00D20A89" w:rsidRDefault="00D20A89" w:rsidP="00D20A89">
            <w:pPr>
              <w:spacing w:line="240" w:lineRule="auto"/>
              <w:jc w:val="center"/>
              <w:rPr>
                <w:bCs/>
                <w:sz w:val="22"/>
                <w:lang w:val="en-ID"/>
              </w:rPr>
            </w:pPr>
            <w:r w:rsidRPr="00D20A89">
              <w:rPr>
                <w:bCs/>
                <w:sz w:val="22"/>
                <w:lang w:val="en-AU"/>
              </w:rPr>
              <w:t>E3</w:t>
            </w:r>
          </w:p>
        </w:tc>
        <w:tc>
          <w:tcPr>
            <w:tcW w:w="992"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63B379BF" w14:textId="77777777" w:rsidR="00D20A89" w:rsidRPr="00D20A89" w:rsidRDefault="00D20A89" w:rsidP="00D20A89">
            <w:pPr>
              <w:spacing w:line="240" w:lineRule="auto"/>
              <w:jc w:val="center"/>
              <w:rPr>
                <w:bCs/>
                <w:sz w:val="22"/>
                <w:lang w:val="en-AU"/>
              </w:rPr>
            </w:pPr>
            <w:r w:rsidRPr="00D20A89">
              <w:rPr>
                <w:bCs/>
                <w:sz w:val="22"/>
                <w:lang w:val="en-AU"/>
              </w:rPr>
              <w:t>0,022</w:t>
            </w:r>
          </w:p>
        </w:tc>
      </w:tr>
      <w:tr w:rsidR="00D20A89" w:rsidRPr="00D20A89" w14:paraId="581F04B3" w14:textId="77777777" w:rsidTr="00D20A89">
        <w:trPr>
          <w:trHeight w:val="315"/>
          <w:jc w:val="center"/>
        </w:trPr>
        <w:tc>
          <w:tcPr>
            <w:tcW w:w="3964" w:type="dxa"/>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hideMark/>
          </w:tcPr>
          <w:p w14:paraId="32E7FB63" w14:textId="77777777" w:rsidR="00D20A89" w:rsidRPr="00D20A89" w:rsidRDefault="00D20A89" w:rsidP="00D20A89">
            <w:pPr>
              <w:spacing w:line="240" w:lineRule="auto"/>
              <w:jc w:val="both"/>
              <w:rPr>
                <w:bCs/>
                <w:sz w:val="22"/>
                <w:lang w:val="en-AU"/>
              </w:rPr>
            </w:pPr>
            <w:r w:rsidRPr="00D20A89">
              <w:rPr>
                <w:bCs/>
                <w:sz w:val="22"/>
                <w:lang w:val="en-AU"/>
              </w:rPr>
              <w:t>Perencanaan kapasitas yang tidak sesuai dengan yang direncanakan</w:t>
            </w:r>
          </w:p>
        </w:tc>
        <w:tc>
          <w:tcPr>
            <w:tcW w:w="226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08A3CFAC" w14:textId="77777777" w:rsidR="00D20A89" w:rsidRPr="00D20A89" w:rsidRDefault="00D20A89" w:rsidP="00D20A89">
            <w:pPr>
              <w:spacing w:line="240" w:lineRule="auto"/>
              <w:jc w:val="center"/>
              <w:rPr>
                <w:bCs/>
                <w:sz w:val="22"/>
                <w:lang w:val="en-ID"/>
              </w:rPr>
            </w:pPr>
            <w:r w:rsidRPr="00D20A89">
              <w:rPr>
                <w:bCs/>
                <w:sz w:val="22"/>
                <w:lang w:val="en-AU"/>
              </w:rPr>
              <w:t>E4</w:t>
            </w:r>
          </w:p>
        </w:tc>
        <w:tc>
          <w:tcPr>
            <w:tcW w:w="992"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0F62B0A3" w14:textId="77777777" w:rsidR="00D20A89" w:rsidRPr="00D20A89" w:rsidRDefault="00D20A89" w:rsidP="00D20A89">
            <w:pPr>
              <w:spacing w:line="240" w:lineRule="auto"/>
              <w:jc w:val="center"/>
              <w:rPr>
                <w:bCs/>
                <w:sz w:val="22"/>
                <w:lang w:val="en-AU"/>
              </w:rPr>
            </w:pPr>
            <w:r w:rsidRPr="00D20A89">
              <w:rPr>
                <w:bCs/>
                <w:sz w:val="22"/>
                <w:lang w:val="en-AU"/>
              </w:rPr>
              <w:t>0,017</w:t>
            </w:r>
          </w:p>
        </w:tc>
      </w:tr>
      <w:tr w:rsidR="00D20A89" w:rsidRPr="00D20A89" w14:paraId="73818B29" w14:textId="77777777" w:rsidTr="00D20A89">
        <w:trPr>
          <w:trHeight w:val="315"/>
          <w:jc w:val="center"/>
        </w:trPr>
        <w:tc>
          <w:tcPr>
            <w:tcW w:w="3964" w:type="dxa"/>
            <w:tcBorders>
              <w:top w:val="single" w:sz="4" w:space="0" w:color="auto"/>
              <w:left w:val="single" w:sz="4" w:space="0" w:color="auto"/>
              <w:bottom w:val="nil"/>
              <w:right w:val="single" w:sz="4" w:space="0" w:color="auto"/>
            </w:tcBorders>
            <w:tcMar>
              <w:top w:w="15" w:type="dxa"/>
              <w:left w:w="108" w:type="dxa"/>
              <w:bottom w:w="15" w:type="dxa"/>
              <w:right w:w="108" w:type="dxa"/>
            </w:tcMar>
            <w:vAlign w:val="center"/>
            <w:hideMark/>
          </w:tcPr>
          <w:p w14:paraId="39043CAA" w14:textId="77777777" w:rsidR="00D20A89" w:rsidRPr="00D20A89" w:rsidRDefault="00D20A89" w:rsidP="00D20A89">
            <w:pPr>
              <w:spacing w:line="240" w:lineRule="auto"/>
              <w:jc w:val="both"/>
              <w:rPr>
                <w:bCs/>
                <w:sz w:val="22"/>
                <w:lang w:val="en-AU"/>
              </w:rPr>
            </w:pPr>
            <w:r w:rsidRPr="00D20A89">
              <w:rPr>
                <w:bCs/>
                <w:sz w:val="22"/>
                <w:lang w:val="en-AU"/>
              </w:rPr>
              <w:t>Terganggunya pasokan bibit</w:t>
            </w:r>
          </w:p>
        </w:tc>
        <w:tc>
          <w:tcPr>
            <w:tcW w:w="226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72982656" w14:textId="77777777" w:rsidR="00D20A89" w:rsidRPr="00D20A89" w:rsidRDefault="00D20A89" w:rsidP="00D20A89">
            <w:pPr>
              <w:spacing w:line="240" w:lineRule="auto"/>
              <w:jc w:val="center"/>
              <w:rPr>
                <w:bCs/>
                <w:sz w:val="22"/>
                <w:lang w:val="en-ID"/>
              </w:rPr>
            </w:pPr>
            <w:r w:rsidRPr="00D20A89">
              <w:rPr>
                <w:bCs/>
                <w:sz w:val="22"/>
                <w:lang w:val="en-AU"/>
              </w:rPr>
              <w:t>E5</w:t>
            </w:r>
          </w:p>
        </w:tc>
        <w:tc>
          <w:tcPr>
            <w:tcW w:w="992"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5203B69D" w14:textId="77777777" w:rsidR="00D20A89" w:rsidRPr="00D20A89" w:rsidRDefault="00D20A89" w:rsidP="00D20A89">
            <w:pPr>
              <w:spacing w:line="240" w:lineRule="auto"/>
              <w:jc w:val="center"/>
              <w:rPr>
                <w:bCs/>
                <w:sz w:val="22"/>
                <w:lang w:val="en-AU"/>
              </w:rPr>
            </w:pPr>
            <w:r w:rsidRPr="00D20A89">
              <w:rPr>
                <w:bCs/>
                <w:sz w:val="22"/>
                <w:lang w:val="en-AU"/>
              </w:rPr>
              <w:t>0,101</w:t>
            </w:r>
          </w:p>
        </w:tc>
      </w:tr>
      <w:tr w:rsidR="00D20A89" w:rsidRPr="00D20A89" w14:paraId="6EAFCFDE" w14:textId="77777777" w:rsidTr="00D20A89">
        <w:trPr>
          <w:trHeight w:val="315"/>
          <w:jc w:val="center"/>
        </w:trPr>
        <w:tc>
          <w:tcPr>
            <w:tcW w:w="396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C493D6" w14:textId="77777777" w:rsidR="00D20A89" w:rsidRPr="00D20A89" w:rsidRDefault="00D20A89" w:rsidP="00D20A89">
            <w:pPr>
              <w:spacing w:line="240" w:lineRule="auto"/>
              <w:jc w:val="both"/>
              <w:rPr>
                <w:bCs/>
                <w:sz w:val="22"/>
                <w:lang w:val="en-AU"/>
              </w:rPr>
            </w:pPr>
            <w:r w:rsidRPr="00D20A89">
              <w:rPr>
                <w:bCs/>
                <w:sz w:val="22"/>
                <w:lang w:val="en-AU"/>
              </w:rPr>
              <w:t>Kualitas bibit yang tidak memenuhi kualifikasi</w:t>
            </w: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F6860F8" w14:textId="77777777" w:rsidR="00D20A89" w:rsidRPr="00D20A89" w:rsidRDefault="00D20A89" w:rsidP="00D20A89">
            <w:pPr>
              <w:spacing w:line="240" w:lineRule="auto"/>
              <w:jc w:val="center"/>
              <w:rPr>
                <w:bCs/>
                <w:sz w:val="22"/>
                <w:lang w:val="en-ID"/>
              </w:rPr>
            </w:pPr>
            <w:r w:rsidRPr="00D20A89">
              <w:rPr>
                <w:bCs/>
                <w:sz w:val="22"/>
                <w:lang w:val="en-AU"/>
              </w:rPr>
              <w:t>E6</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25CD6F8" w14:textId="77777777" w:rsidR="00D20A89" w:rsidRPr="00D20A89" w:rsidRDefault="00D20A89" w:rsidP="00D20A89">
            <w:pPr>
              <w:spacing w:line="240" w:lineRule="auto"/>
              <w:jc w:val="center"/>
              <w:rPr>
                <w:bCs/>
                <w:sz w:val="22"/>
                <w:lang w:val="en-AU"/>
              </w:rPr>
            </w:pPr>
            <w:r w:rsidRPr="00D20A89">
              <w:rPr>
                <w:bCs/>
                <w:sz w:val="22"/>
                <w:lang w:val="en-AU"/>
              </w:rPr>
              <w:t>0,154</w:t>
            </w:r>
          </w:p>
        </w:tc>
      </w:tr>
      <w:tr w:rsidR="00D20A89" w:rsidRPr="00D20A89" w14:paraId="14A8008C" w14:textId="77777777" w:rsidTr="00D20A89">
        <w:trPr>
          <w:trHeight w:val="345"/>
          <w:jc w:val="center"/>
        </w:trPr>
        <w:tc>
          <w:tcPr>
            <w:tcW w:w="396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C66784" w14:textId="77777777" w:rsidR="00D20A89" w:rsidRPr="00D20A89" w:rsidRDefault="00D20A89" w:rsidP="00D20A89">
            <w:pPr>
              <w:spacing w:line="240" w:lineRule="auto"/>
              <w:jc w:val="both"/>
              <w:rPr>
                <w:bCs/>
                <w:sz w:val="22"/>
                <w:lang w:val="en-AU"/>
              </w:rPr>
            </w:pPr>
            <w:r w:rsidRPr="00D20A89">
              <w:rPr>
                <w:bCs/>
                <w:sz w:val="22"/>
                <w:lang w:val="en-AU"/>
              </w:rPr>
              <w:t xml:space="preserve">Kesalahan item yang dikirim </w:t>
            </w: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B7E1422" w14:textId="77777777" w:rsidR="00D20A89" w:rsidRPr="00D20A89" w:rsidRDefault="00D20A89" w:rsidP="00D20A89">
            <w:pPr>
              <w:spacing w:line="240" w:lineRule="auto"/>
              <w:jc w:val="center"/>
              <w:rPr>
                <w:bCs/>
                <w:sz w:val="22"/>
                <w:lang w:val="en-ID"/>
              </w:rPr>
            </w:pPr>
            <w:r w:rsidRPr="00D20A89">
              <w:rPr>
                <w:bCs/>
                <w:sz w:val="22"/>
                <w:lang w:val="en-AU"/>
              </w:rPr>
              <w:t>E7</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ED74CBF" w14:textId="77777777" w:rsidR="00D20A89" w:rsidRPr="00D20A89" w:rsidRDefault="00D20A89" w:rsidP="00D20A89">
            <w:pPr>
              <w:spacing w:line="240" w:lineRule="auto"/>
              <w:jc w:val="center"/>
              <w:rPr>
                <w:bCs/>
                <w:sz w:val="22"/>
                <w:lang w:val="en-AU"/>
              </w:rPr>
            </w:pPr>
            <w:r w:rsidRPr="00D20A89">
              <w:rPr>
                <w:bCs/>
                <w:sz w:val="22"/>
                <w:lang w:val="en-AU"/>
              </w:rPr>
              <w:t>0,035</w:t>
            </w:r>
          </w:p>
        </w:tc>
      </w:tr>
      <w:tr w:rsidR="00D20A89" w:rsidRPr="00D20A89" w14:paraId="2CEFC735" w14:textId="77777777" w:rsidTr="00D20A89">
        <w:trPr>
          <w:trHeight w:val="300"/>
          <w:jc w:val="center"/>
        </w:trPr>
        <w:tc>
          <w:tcPr>
            <w:tcW w:w="396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29C771" w14:textId="77777777" w:rsidR="00D20A89" w:rsidRPr="00D20A89" w:rsidRDefault="00D20A89" w:rsidP="00D20A89">
            <w:pPr>
              <w:spacing w:line="240" w:lineRule="auto"/>
              <w:jc w:val="both"/>
              <w:rPr>
                <w:bCs/>
                <w:sz w:val="22"/>
                <w:lang w:val="en-AU"/>
              </w:rPr>
            </w:pPr>
            <w:r w:rsidRPr="00D20A89">
              <w:rPr>
                <w:bCs/>
                <w:sz w:val="22"/>
                <w:lang w:val="en-AU"/>
              </w:rPr>
              <w:t>Hasil Produksi Menurun</w:t>
            </w: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9D4DF97" w14:textId="77777777" w:rsidR="00D20A89" w:rsidRPr="00D20A89" w:rsidRDefault="00D20A89" w:rsidP="00D20A89">
            <w:pPr>
              <w:spacing w:line="240" w:lineRule="auto"/>
              <w:jc w:val="center"/>
              <w:rPr>
                <w:bCs/>
                <w:sz w:val="22"/>
                <w:lang w:val="en-ID"/>
              </w:rPr>
            </w:pPr>
            <w:r w:rsidRPr="00D20A89">
              <w:rPr>
                <w:bCs/>
                <w:sz w:val="22"/>
                <w:lang w:val="en-AU"/>
              </w:rPr>
              <w:t>E8</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6927DC5" w14:textId="77777777" w:rsidR="00D20A89" w:rsidRPr="00D20A89" w:rsidRDefault="00D20A89" w:rsidP="00D20A89">
            <w:pPr>
              <w:spacing w:line="240" w:lineRule="auto"/>
              <w:jc w:val="center"/>
              <w:rPr>
                <w:bCs/>
                <w:sz w:val="22"/>
                <w:lang w:val="en-AU"/>
              </w:rPr>
            </w:pPr>
            <w:r w:rsidRPr="00D20A89">
              <w:rPr>
                <w:bCs/>
                <w:sz w:val="22"/>
                <w:lang w:val="en-AU"/>
              </w:rPr>
              <w:t>0,092</w:t>
            </w:r>
          </w:p>
        </w:tc>
      </w:tr>
      <w:tr w:rsidR="00D20A89" w:rsidRPr="00D20A89" w14:paraId="60AB4DB3" w14:textId="77777777" w:rsidTr="00D20A89">
        <w:trPr>
          <w:trHeight w:val="390"/>
          <w:jc w:val="center"/>
        </w:trPr>
        <w:tc>
          <w:tcPr>
            <w:tcW w:w="396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5BA1187" w14:textId="77777777" w:rsidR="00D20A89" w:rsidRPr="00D20A89" w:rsidRDefault="00D20A89" w:rsidP="00D20A89">
            <w:pPr>
              <w:spacing w:line="240" w:lineRule="auto"/>
              <w:jc w:val="both"/>
              <w:rPr>
                <w:bCs/>
                <w:sz w:val="22"/>
                <w:lang w:val="en-AU"/>
              </w:rPr>
            </w:pPr>
            <w:r w:rsidRPr="00D20A89">
              <w:rPr>
                <w:bCs/>
                <w:sz w:val="22"/>
                <w:lang w:val="en-AU"/>
              </w:rPr>
              <w:t>Kualitas Produk Tidak Memenuhi Kualifikasi</w:t>
            </w: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E3F1047" w14:textId="77777777" w:rsidR="00D20A89" w:rsidRPr="00D20A89" w:rsidRDefault="00D20A89" w:rsidP="00D20A89">
            <w:pPr>
              <w:spacing w:line="240" w:lineRule="auto"/>
              <w:jc w:val="center"/>
              <w:rPr>
                <w:bCs/>
                <w:sz w:val="22"/>
                <w:lang w:val="en-ID"/>
              </w:rPr>
            </w:pPr>
            <w:r w:rsidRPr="00D20A89">
              <w:rPr>
                <w:bCs/>
                <w:sz w:val="22"/>
                <w:lang w:val="en-AU"/>
              </w:rPr>
              <w:t>E9</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4606263" w14:textId="77777777" w:rsidR="00D20A89" w:rsidRPr="00D20A89" w:rsidRDefault="00D20A89" w:rsidP="00D20A89">
            <w:pPr>
              <w:spacing w:line="240" w:lineRule="auto"/>
              <w:jc w:val="center"/>
              <w:rPr>
                <w:bCs/>
                <w:sz w:val="22"/>
                <w:lang w:val="en-AU"/>
              </w:rPr>
            </w:pPr>
            <w:r w:rsidRPr="00D20A89">
              <w:rPr>
                <w:bCs/>
                <w:sz w:val="22"/>
                <w:lang w:val="en-AU"/>
              </w:rPr>
              <w:t>0,213</w:t>
            </w:r>
          </w:p>
        </w:tc>
      </w:tr>
      <w:tr w:rsidR="00D20A89" w:rsidRPr="00D20A89" w14:paraId="40493111" w14:textId="77777777" w:rsidTr="00D20A89">
        <w:trPr>
          <w:trHeight w:val="315"/>
          <w:jc w:val="center"/>
        </w:trPr>
        <w:tc>
          <w:tcPr>
            <w:tcW w:w="396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0AEC9" w14:textId="77777777" w:rsidR="00D20A89" w:rsidRPr="00D20A89" w:rsidRDefault="00D20A89" w:rsidP="00D20A89">
            <w:pPr>
              <w:spacing w:line="240" w:lineRule="auto"/>
              <w:jc w:val="both"/>
              <w:rPr>
                <w:bCs/>
                <w:sz w:val="22"/>
                <w:lang w:val="en-AU"/>
              </w:rPr>
            </w:pPr>
            <w:r w:rsidRPr="00D20A89">
              <w:rPr>
                <w:bCs/>
                <w:sz w:val="22"/>
                <w:lang w:val="en-AU"/>
              </w:rPr>
              <w:t>Keterlambatan Proses Distribusi</w:t>
            </w:r>
          </w:p>
        </w:tc>
        <w:tc>
          <w:tcPr>
            <w:tcW w:w="226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ECE17EF" w14:textId="77777777" w:rsidR="00D20A89" w:rsidRPr="00D20A89" w:rsidRDefault="00D20A89" w:rsidP="00D20A89">
            <w:pPr>
              <w:spacing w:line="240" w:lineRule="auto"/>
              <w:jc w:val="center"/>
              <w:rPr>
                <w:bCs/>
                <w:sz w:val="22"/>
                <w:lang w:val="en-ID"/>
              </w:rPr>
            </w:pPr>
            <w:r w:rsidRPr="00D20A89">
              <w:rPr>
                <w:bCs/>
                <w:sz w:val="22"/>
                <w:lang w:val="en-AU"/>
              </w:rPr>
              <w:t>E10</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378E72B" w14:textId="77777777" w:rsidR="00D20A89" w:rsidRPr="00D20A89" w:rsidRDefault="00D20A89" w:rsidP="00D20A89">
            <w:pPr>
              <w:spacing w:line="240" w:lineRule="auto"/>
              <w:jc w:val="center"/>
              <w:rPr>
                <w:bCs/>
                <w:sz w:val="22"/>
                <w:lang w:val="en-AU"/>
              </w:rPr>
            </w:pPr>
            <w:r w:rsidRPr="00D20A89">
              <w:rPr>
                <w:bCs/>
                <w:sz w:val="22"/>
                <w:lang w:val="en-AU"/>
              </w:rPr>
              <w:t>0,046</w:t>
            </w:r>
          </w:p>
        </w:tc>
      </w:tr>
    </w:tbl>
    <w:p w14:paraId="101D8617" w14:textId="77777777" w:rsidR="00D20A89" w:rsidRDefault="00D20A89" w:rsidP="00D20A89">
      <w:pPr>
        <w:spacing w:line="240" w:lineRule="auto"/>
        <w:jc w:val="both"/>
        <w:rPr>
          <w:b/>
          <w:bCs/>
          <w:sz w:val="22"/>
          <w:lang w:val="en-ID"/>
        </w:rPr>
        <w:sectPr w:rsidR="00D20A89" w:rsidSect="00D20A89">
          <w:type w:val="continuous"/>
          <w:pgSz w:w="11907" w:h="16840" w:code="9"/>
          <w:pgMar w:top="1440" w:right="1440" w:bottom="1440" w:left="1440" w:header="720" w:footer="720" w:gutter="0"/>
          <w:cols w:space="708"/>
          <w:docGrid w:linePitch="360"/>
        </w:sectPr>
      </w:pPr>
    </w:p>
    <w:p w14:paraId="48C1A565" w14:textId="0F1D9A92" w:rsidR="00D20A89" w:rsidRPr="00D20A89" w:rsidRDefault="00D20A89" w:rsidP="00D20A89">
      <w:pPr>
        <w:pStyle w:val="ListParagraph"/>
        <w:numPr>
          <w:ilvl w:val="1"/>
          <w:numId w:val="8"/>
        </w:numPr>
        <w:spacing w:line="240" w:lineRule="auto"/>
        <w:jc w:val="both"/>
        <w:rPr>
          <w:b/>
          <w:bCs/>
          <w:sz w:val="22"/>
          <w:lang w:val="en-ID"/>
        </w:rPr>
      </w:pPr>
      <w:r w:rsidRPr="00D20A89">
        <w:rPr>
          <w:b/>
          <w:bCs/>
          <w:sz w:val="22"/>
          <w:lang w:val="en-ID"/>
        </w:rPr>
        <w:t>Tahap Evaluasi Risiko</w:t>
      </w:r>
    </w:p>
    <w:p w14:paraId="47F2ED4E" w14:textId="77777777" w:rsidR="00D20A89" w:rsidRPr="00D20A89" w:rsidRDefault="00D20A89" w:rsidP="00D20A89">
      <w:pPr>
        <w:spacing w:line="240" w:lineRule="auto"/>
        <w:jc w:val="both"/>
        <w:rPr>
          <w:bCs/>
          <w:sz w:val="22"/>
          <w:lang w:val="en-ID"/>
        </w:rPr>
      </w:pPr>
      <w:r w:rsidRPr="00D20A89">
        <w:rPr>
          <w:bCs/>
          <w:sz w:val="22"/>
          <w:lang w:val="en-ID"/>
        </w:rPr>
        <w:t xml:space="preserve">Tahap evaluasi risiko ini menggunakan metode </w:t>
      </w:r>
      <w:r w:rsidRPr="00D20A89">
        <w:rPr>
          <w:bCs/>
          <w:i/>
          <w:iCs/>
          <w:sz w:val="22"/>
          <w:lang w:val="en-ID"/>
        </w:rPr>
        <w:t xml:space="preserve">FMEA (Failure Mode and Effects Analysis) </w:t>
      </w:r>
      <w:r w:rsidRPr="00D20A89">
        <w:rPr>
          <w:bCs/>
          <w:sz w:val="22"/>
          <w:lang w:val="en-ID"/>
        </w:rPr>
        <w:t xml:space="preserve">untuk menentukan bobot dari setiap risiko yang terjadi dan pemilihan risiko dengan bobot tertinggi. Penggunaan FMEA untuk evaluasi risiko ini bertujuan untuk mengevaluasi korelasi dengan memeriksa modus kegagalan yang diharapkan dan dapat ditemukannya efek/dampak dari kegagalan/gangguan pada rantai pasok atau pada sistem sehingga permasalahan dapat dipecahkan (Paul Barringer,). </w:t>
      </w:r>
      <w:r w:rsidRPr="00D20A89">
        <w:rPr>
          <w:bCs/>
          <w:i/>
          <w:iCs/>
          <w:sz w:val="22"/>
          <w:lang w:val="en-ID"/>
        </w:rPr>
        <w:t>Output</w:t>
      </w:r>
      <w:r w:rsidRPr="00D20A89">
        <w:rPr>
          <w:bCs/>
          <w:sz w:val="22"/>
          <w:lang w:val="en-ID"/>
        </w:rPr>
        <w:t xml:space="preserve"> dari tahap evaluasi ini adalah diperolehnya kemungkinan risiko-risiko yang sangat berpengaruh dalam setiap </w:t>
      </w:r>
      <w:r w:rsidRPr="00D20A89">
        <w:rPr>
          <w:bCs/>
          <w:sz w:val="22"/>
          <w:lang w:val="en-ID"/>
        </w:rPr>
        <w:t>tingkatan rantai pasok berdasarkan dimensi SCOR. Dalam evaluasi ini, selain hasil identifikasi risiko yang terjadi (</w:t>
      </w:r>
      <w:r w:rsidRPr="00D20A89">
        <w:rPr>
          <w:bCs/>
          <w:i/>
          <w:iCs/>
          <w:sz w:val="22"/>
          <w:lang w:val="en-ID"/>
        </w:rPr>
        <w:t>risk event</w:t>
      </w:r>
      <w:r w:rsidRPr="00D20A89">
        <w:rPr>
          <w:bCs/>
          <w:sz w:val="22"/>
          <w:lang w:val="en-ID"/>
        </w:rPr>
        <w:t>) dan identifikasi sumber/penyebab risiko (</w:t>
      </w:r>
      <w:r w:rsidRPr="00D20A89">
        <w:rPr>
          <w:bCs/>
          <w:i/>
          <w:iCs/>
          <w:sz w:val="22"/>
          <w:lang w:val="en-ID"/>
        </w:rPr>
        <w:t>risk agent</w:t>
      </w:r>
      <w:r w:rsidRPr="00D20A89">
        <w:rPr>
          <w:bCs/>
          <w:sz w:val="22"/>
          <w:lang w:val="en-ID"/>
        </w:rPr>
        <w:t>) diperoleh juga bobot tingkat gangguan (</w:t>
      </w:r>
      <w:r w:rsidRPr="00D20A89">
        <w:rPr>
          <w:bCs/>
          <w:i/>
          <w:iCs/>
          <w:sz w:val="22"/>
          <w:lang w:val="en-ID"/>
        </w:rPr>
        <w:t>severity</w:t>
      </w:r>
      <w:r w:rsidRPr="00D20A89">
        <w:rPr>
          <w:bCs/>
          <w:sz w:val="22"/>
          <w:lang w:val="en-ID"/>
        </w:rPr>
        <w:t>) untuk tiap risiko yang teridentifikasi dan bobot frekuensi (</w:t>
      </w:r>
      <w:r w:rsidRPr="00D20A89">
        <w:rPr>
          <w:bCs/>
          <w:i/>
          <w:iCs/>
          <w:sz w:val="22"/>
          <w:lang w:val="en-ID"/>
        </w:rPr>
        <w:t>occurence</w:t>
      </w:r>
      <w:r w:rsidRPr="00D20A89">
        <w:rPr>
          <w:bCs/>
          <w:sz w:val="22"/>
          <w:lang w:val="en-ID"/>
        </w:rPr>
        <w:t>) untuk tiap sumber risiko (</w:t>
      </w:r>
      <w:r w:rsidRPr="00D20A89">
        <w:rPr>
          <w:bCs/>
          <w:i/>
          <w:iCs/>
          <w:sz w:val="22"/>
          <w:lang w:val="en-ID"/>
        </w:rPr>
        <w:t>risk agent</w:t>
      </w:r>
      <w:r w:rsidRPr="00D20A89">
        <w:rPr>
          <w:bCs/>
          <w:sz w:val="22"/>
          <w:lang w:val="en-ID"/>
        </w:rPr>
        <w:t xml:space="preserve">) berdasarkan penilaian internal perusahaan yang terdiri dari kepala masing-masing unit, tim konsultan, tim pengawas, dan pakar yang berpengalaman. Selanjutnya, nilai dan bobot </w:t>
      </w:r>
      <w:r w:rsidRPr="00D20A89">
        <w:rPr>
          <w:bCs/>
          <w:i/>
          <w:iCs/>
          <w:sz w:val="22"/>
          <w:lang w:val="en-ID"/>
        </w:rPr>
        <w:t>severity</w:t>
      </w:r>
      <w:r w:rsidRPr="00D20A89">
        <w:rPr>
          <w:bCs/>
          <w:sz w:val="22"/>
          <w:lang w:val="en-ID"/>
        </w:rPr>
        <w:t xml:space="preserve"> dan </w:t>
      </w:r>
      <w:r w:rsidRPr="00D20A89">
        <w:rPr>
          <w:bCs/>
          <w:i/>
          <w:iCs/>
          <w:sz w:val="22"/>
          <w:lang w:val="en-ID"/>
        </w:rPr>
        <w:t>occurence</w:t>
      </w:r>
      <w:r w:rsidRPr="00D20A89">
        <w:rPr>
          <w:bCs/>
          <w:sz w:val="22"/>
          <w:lang w:val="en-ID"/>
        </w:rPr>
        <w:t xml:space="preserve"> ini </w:t>
      </w:r>
      <w:proofErr w:type="gramStart"/>
      <w:r w:rsidRPr="00D20A89">
        <w:rPr>
          <w:bCs/>
          <w:sz w:val="22"/>
          <w:lang w:val="en-ID"/>
        </w:rPr>
        <w:t>akan</w:t>
      </w:r>
      <w:proofErr w:type="gramEnd"/>
      <w:r w:rsidRPr="00D20A89">
        <w:rPr>
          <w:bCs/>
          <w:sz w:val="22"/>
          <w:lang w:val="en-ID"/>
        </w:rPr>
        <w:t xml:space="preserve"> digunakan untuk menghitung nilai </w:t>
      </w:r>
      <w:r w:rsidRPr="00D20A89">
        <w:rPr>
          <w:bCs/>
          <w:i/>
          <w:iCs/>
          <w:sz w:val="22"/>
          <w:lang w:val="en-ID"/>
        </w:rPr>
        <w:t xml:space="preserve">Aggregate Risk Potential </w:t>
      </w:r>
      <w:r w:rsidRPr="00D20A89">
        <w:rPr>
          <w:bCs/>
          <w:iCs/>
          <w:sz w:val="22"/>
          <w:lang w:val="en-ID"/>
        </w:rPr>
        <w:t>(ARP)</w:t>
      </w:r>
      <w:r w:rsidRPr="00D20A89">
        <w:rPr>
          <w:bCs/>
          <w:sz w:val="22"/>
          <w:lang w:val="en-ID"/>
        </w:rPr>
        <w:t>.</w:t>
      </w:r>
    </w:p>
    <w:p w14:paraId="4D86AC77" w14:textId="77777777" w:rsidR="00D20A89" w:rsidRPr="00D20A89" w:rsidRDefault="00D20A89" w:rsidP="00D20A89">
      <w:pPr>
        <w:spacing w:line="240" w:lineRule="auto"/>
        <w:jc w:val="both"/>
        <w:rPr>
          <w:b/>
          <w:bCs/>
          <w:sz w:val="22"/>
          <w:lang w:val="en-ID"/>
        </w:rPr>
      </w:pPr>
      <w:r w:rsidRPr="00D20A89">
        <w:rPr>
          <w:bCs/>
          <w:i/>
          <w:iCs/>
          <w:sz w:val="22"/>
          <w:lang w:val="en-ID"/>
        </w:rPr>
        <w:lastRenderedPageBreak/>
        <w:t>House of Risk</w:t>
      </w:r>
      <w:r w:rsidRPr="00D20A89">
        <w:rPr>
          <w:bCs/>
          <w:sz w:val="22"/>
          <w:lang w:val="en-ID"/>
        </w:rPr>
        <w:t xml:space="preserve"> (HOR) menjelaskan sumber risiko </w:t>
      </w:r>
      <w:proofErr w:type="gramStart"/>
      <w:r w:rsidRPr="00D20A89">
        <w:rPr>
          <w:bCs/>
          <w:sz w:val="22"/>
          <w:lang w:val="en-ID"/>
        </w:rPr>
        <w:t>apa</w:t>
      </w:r>
      <w:proofErr w:type="gramEnd"/>
      <w:r w:rsidRPr="00D20A89">
        <w:rPr>
          <w:bCs/>
          <w:sz w:val="22"/>
          <w:lang w:val="en-ID"/>
        </w:rPr>
        <w:t xml:space="preserve"> saja yang menjadi prioritas untuk dilakukan mitigasi. HOR ini dibuat berdasarkan penggabungan pengolahan data dari penentuan bobot kejadian risiko hingga korelasi antra </w:t>
      </w:r>
      <w:r w:rsidRPr="00D20A89">
        <w:rPr>
          <w:bCs/>
          <w:sz w:val="22"/>
          <w:lang w:val="en-ID"/>
        </w:rPr>
        <w:t>kejadian risiko dengan sumber risiko. Gambaran secara selengkapnya dari matriks HOR I dapat dilihat pada terlihat pada tabel berikut ini:</w:t>
      </w:r>
    </w:p>
    <w:p w14:paraId="1F2F8A7B" w14:textId="77777777" w:rsidR="00D20A89" w:rsidRDefault="00D20A89" w:rsidP="00D20A89">
      <w:pPr>
        <w:spacing w:line="240" w:lineRule="auto"/>
        <w:jc w:val="both"/>
        <w:rPr>
          <w:b/>
          <w:bCs/>
          <w:sz w:val="22"/>
          <w:lang w:val="en-ID"/>
        </w:rPr>
        <w:sectPr w:rsidR="00D20A89" w:rsidSect="00D20A89">
          <w:type w:val="continuous"/>
          <w:pgSz w:w="11907" w:h="16840" w:code="9"/>
          <w:pgMar w:top="1440" w:right="1440" w:bottom="1440" w:left="1440" w:header="720" w:footer="720" w:gutter="0"/>
          <w:cols w:num="2" w:space="708"/>
          <w:docGrid w:linePitch="360"/>
        </w:sectPr>
      </w:pPr>
    </w:p>
    <w:p w14:paraId="57C8CFD5" w14:textId="77777777" w:rsidR="005415B3" w:rsidRDefault="005415B3" w:rsidP="005415B3">
      <w:pPr>
        <w:spacing w:line="240" w:lineRule="auto"/>
        <w:jc w:val="center"/>
        <w:rPr>
          <w:b/>
          <w:bCs/>
          <w:sz w:val="22"/>
          <w:lang w:val="en-ID"/>
        </w:rPr>
      </w:pPr>
    </w:p>
    <w:p w14:paraId="429336FC" w14:textId="5AB473BC" w:rsidR="00D20A89" w:rsidRPr="00D20A89" w:rsidRDefault="00D20A89" w:rsidP="005415B3">
      <w:pPr>
        <w:spacing w:line="240" w:lineRule="auto"/>
        <w:jc w:val="center"/>
        <w:rPr>
          <w:b/>
          <w:bCs/>
          <w:sz w:val="22"/>
          <w:lang w:val="en-ID"/>
        </w:rPr>
      </w:pPr>
      <w:r w:rsidRPr="00D20A89">
        <w:rPr>
          <w:b/>
          <w:bCs/>
          <w:sz w:val="22"/>
          <w:lang w:val="en-ID"/>
        </w:rPr>
        <w:t xml:space="preserve">Tabel </w:t>
      </w:r>
      <w:r w:rsidR="005415B3">
        <w:rPr>
          <w:b/>
          <w:bCs/>
          <w:sz w:val="22"/>
          <w:lang w:val="en-ID"/>
        </w:rPr>
        <w:t>4</w:t>
      </w:r>
      <w:r w:rsidRPr="00D20A89">
        <w:rPr>
          <w:b/>
          <w:bCs/>
          <w:sz w:val="22"/>
          <w:lang w:val="en-ID"/>
        </w:rPr>
        <w:t>.4. House of Risk (HOR) I</w:t>
      </w:r>
    </w:p>
    <w:p w14:paraId="20F11B91" w14:textId="77777777" w:rsidR="00D20A89" w:rsidRDefault="00D20A89" w:rsidP="00D20A89">
      <w:pPr>
        <w:spacing w:line="240" w:lineRule="auto"/>
        <w:jc w:val="both"/>
        <w:rPr>
          <w:b/>
          <w:bCs/>
          <w:sz w:val="22"/>
          <w:lang w:val="en-ID"/>
        </w:rPr>
        <w:sectPr w:rsidR="00D20A89" w:rsidSect="00D20A89">
          <w:type w:val="continuous"/>
          <w:pgSz w:w="11907" w:h="16840" w:code="9"/>
          <w:pgMar w:top="1440" w:right="1440" w:bottom="1440" w:left="1440" w:header="720" w:footer="720" w:gutter="0"/>
          <w:cols w:space="708"/>
          <w:docGrid w:linePitch="360"/>
        </w:sectPr>
      </w:pPr>
    </w:p>
    <w:tbl>
      <w:tblPr>
        <w:tblW w:w="7827" w:type="dxa"/>
        <w:jc w:val="center"/>
        <w:tblLook w:val="04A0" w:firstRow="1" w:lastRow="0" w:firstColumn="1" w:lastColumn="0" w:noHBand="0" w:noVBand="1"/>
      </w:tblPr>
      <w:tblGrid>
        <w:gridCol w:w="1838"/>
        <w:gridCol w:w="1084"/>
        <w:gridCol w:w="687"/>
        <w:gridCol w:w="516"/>
        <w:gridCol w:w="576"/>
        <w:gridCol w:w="570"/>
        <w:gridCol w:w="576"/>
        <w:gridCol w:w="567"/>
        <w:gridCol w:w="576"/>
        <w:gridCol w:w="986"/>
      </w:tblGrid>
      <w:tr w:rsidR="00D20A89" w:rsidRPr="00D20A89" w14:paraId="62FB9ACB" w14:textId="77777777" w:rsidTr="00D20A89">
        <w:trPr>
          <w:trHeight w:val="300"/>
          <w:tblHeader/>
          <w:jc w:val="center"/>
        </w:trPr>
        <w:tc>
          <w:tcPr>
            <w:tcW w:w="1838" w:type="dxa"/>
            <w:vMerge w:val="restart"/>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24B12EA6" w14:textId="7DE04CD9" w:rsidR="00D20A89" w:rsidRPr="00D20A89" w:rsidRDefault="00D20A89" w:rsidP="00D20A89">
            <w:pPr>
              <w:spacing w:line="240" w:lineRule="auto"/>
              <w:jc w:val="center"/>
              <w:rPr>
                <w:b/>
                <w:bCs/>
                <w:sz w:val="22"/>
                <w:lang w:val="en-ID"/>
              </w:rPr>
            </w:pPr>
            <w:r w:rsidRPr="00D20A89">
              <w:rPr>
                <w:b/>
                <w:bCs/>
                <w:sz w:val="22"/>
                <w:lang w:val="en-ID"/>
              </w:rPr>
              <w:t>Kejadian Risiko</w:t>
            </w:r>
          </w:p>
        </w:tc>
        <w:tc>
          <w:tcPr>
            <w:tcW w:w="1005" w:type="dxa"/>
            <w:vMerge w:val="restart"/>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3C576C9F" w14:textId="77777777" w:rsidR="00D20A89" w:rsidRPr="00D20A89" w:rsidRDefault="00D20A89" w:rsidP="00D20A89">
            <w:pPr>
              <w:spacing w:line="240" w:lineRule="auto"/>
              <w:jc w:val="center"/>
              <w:rPr>
                <w:b/>
                <w:bCs/>
                <w:sz w:val="22"/>
                <w:lang w:val="en-ID"/>
              </w:rPr>
            </w:pPr>
            <w:r w:rsidRPr="00D20A89">
              <w:rPr>
                <w:b/>
                <w:bCs/>
                <w:sz w:val="22"/>
                <w:lang w:val="en-ID"/>
              </w:rPr>
              <w:t>Kode Kejadian Risiko</w:t>
            </w:r>
          </w:p>
        </w:tc>
        <w:tc>
          <w:tcPr>
            <w:tcW w:w="4068" w:type="dxa"/>
            <w:gridSpan w:val="7"/>
            <w:tcBorders>
              <w:top w:val="single" w:sz="4" w:space="0" w:color="auto"/>
              <w:left w:val="single" w:sz="4" w:space="0" w:color="auto"/>
              <w:bottom w:val="single" w:sz="4" w:space="0" w:color="auto"/>
              <w:right w:val="nil"/>
            </w:tcBorders>
            <w:noWrap/>
            <w:tcMar>
              <w:top w:w="15" w:type="dxa"/>
              <w:left w:w="108" w:type="dxa"/>
              <w:bottom w:w="15" w:type="dxa"/>
              <w:right w:w="108" w:type="dxa"/>
            </w:tcMar>
            <w:vAlign w:val="center"/>
            <w:hideMark/>
          </w:tcPr>
          <w:p w14:paraId="00EEF332" w14:textId="77777777" w:rsidR="00D20A89" w:rsidRPr="00D20A89" w:rsidRDefault="00D20A89" w:rsidP="00D20A89">
            <w:pPr>
              <w:spacing w:line="240" w:lineRule="auto"/>
              <w:jc w:val="center"/>
              <w:rPr>
                <w:b/>
                <w:bCs/>
                <w:sz w:val="22"/>
                <w:lang w:val="en-ID"/>
              </w:rPr>
            </w:pPr>
            <w:r w:rsidRPr="00D20A89">
              <w:rPr>
                <w:b/>
                <w:bCs/>
                <w:sz w:val="22"/>
                <w:lang w:val="en-ID"/>
              </w:rPr>
              <w:t>Sumber Risiko</w:t>
            </w:r>
          </w:p>
        </w:tc>
        <w:tc>
          <w:tcPr>
            <w:tcW w:w="916" w:type="dxa"/>
            <w:vMerge w:val="restart"/>
            <w:tcBorders>
              <w:top w:val="single" w:sz="4" w:space="0" w:color="auto"/>
              <w:left w:val="single" w:sz="4" w:space="0" w:color="auto"/>
              <w:bottom w:val="nil"/>
              <w:right w:val="single" w:sz="4" w:space="0" w:color="auto"/>
            </w:tcBorders>
            <w:vAlign w:val="center"/>
            <w:hideMark/>
          </w:tcPr>
          <w:p w14:paraId="69F47A10" w14:textId="77777777" w:rsidR="00D20A89" w:rsidRPr="00D20A89" w:rsidRDefault="00D20A89" w:rsidP="00D20A89">
            <w:pPr>
              <w:spacing w:line="240" w:lineRule="auto"/>
              <w:jc w:val="center"/>
              <w:rPr>
                <w:b/>
                <w:bCs/>
                <w:sz w:val="22"/>
                <w:lang w:val="en-ID"/>
              </w:rPr>
            </w:pPr>
            <w:r w:rsidRPr="00D20A89">
              <w:rPr>
                <w:b/>
                <w:bCs/>
                <w:sz w:val="22"/>
                <w:lang w:val="en-ID"/>
              </w:rPr>
              <w:t>Severity</w:t>
            </w:r>
          </w:p>
        </w:tc>
      </w:tr>
      <w:tr w:rsidR="00D20A89" w:rsidRPr="00D20A89" w14:paraId="0BCA0357" w14:textId="77777777" w:rsidTr="00D20A89">
        <w:trPr>
          <w:trHeight w:val="300"/>
          <w:tblHeader/>
          <w:jc w:val="center"/>
        </w:trPr>
        <w:tc>
          <w:tcPr>
            <w:tcW w:w="0" w:type="auto"/>
            <w:vMerge/>
            <w:tcBorders>
              <w:top w:val="single" w:sz="4" w:space="0" w:color="auto"/>
              <w:left w:val="single" w:sz="4" w:space="0" w:color="auto"/>
              <w:bottom w:val="nil"/>
              <w:right w:val="single" w:sz="4" w:space="0" w:color="auto"/>
            </w:tcBorders>
            <w:vAlign w:val="center"/>
            <w:hideMark/>
          </w:tcPr>
          <w:p w14:paraId="696E4106" w14:textId="77777777" w:rsidR="00D20A89" w:rsidRPr="00D20A89" w:rsidRDefault="00D20A89" w:rsidP="00D20A89">
            <w:pPr>
              <w:spacing w:line="240" w:lineRule="auto"/>
              <w:jc w:val="both"/>
              <w:rPr>
                <w:b/>
                <w:bCs/>
                <w:sz w:val="22"/>
                <w:lang w:val="en-ID"/>
              </w:rPr>
            </w:pPr>
          </w:p>
        </w:tc>
        <w:tc>
          <w:tcPr>
            <w:tcW w:w="0" w:type="auto"/>
            <w:vMerge/>
            <w:tcBorders>
              <w:top w:val="single" w:sz="4" w:space="0" w:color="auto"/>
              <w:left w:val="single" w:sz="4" w:space="0" w:color="auto"/>
              <w:bottom w:val="nil"/>
              <w:right w:val="single" w:sz="4" w:space="0" w:color="auto"/>
            </w:tcBorders>
            <w:vAlign w:val="center"/>
            <w:hideMark/>
          </w:tcPr>
          <w:p w14:paraId="45C176DE" w14:textId="77777777" w:rsidR="00D20A89" w:rsidRPr="00D20A89" w:rsidRDefault="00D20A89" w:rsidP="00D20A89">
            <w:pPr>
              <w:spacing w:line="240" w:lineRule="auto"/>
              <w:jc w:val="both"/>
              <w:rPr>
                <w:b/>
                <w:bCs/>
                <w:sz w:val="22"/>
                <w:lang w:val="en-ID"/>
              </w:rPr>
            </w:pP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9FA0DDF" w14:textId="77777777" w:rsidR="00D20A89" w:rsidRPr="00D20A89" w:rsidRDefault="00D20A89" w:rsidP="00D20A89">
            <w:pPr>
              <w:spacing w:line="240" w:lineRule="auto"/>
              <w:jc w:val="both"/>
              <w:rPr>
                <w:b/>
                <w:bCs/>
                <w:sz w:val="22"/>
                <w:lang w:val="en-ID"/>
              </w:rPr>
            </w:pPr>
            <w:r w:rsidRPr="00D20A89">
              <w:rPr>
                <w:b/>
                <w:bCs/>
                <w:sz w:val="22"/>
                <w:lang w:val="en-ID"/>
              </w:rPr>
              <w:t>A1</w:t>
            </w: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8F2FB13" w14:textId="77777777" w:rsidR="00D20A89" w:rsidRPr="00D20A89" w:rsidRDefault="00D20A89" w:rsidP="00D20A89">
            <w:pPr>
              <w:spacing w:line="240" w:lineRule="auto"/>
              <w:jc w:val="both"/>
              <w:rPr>
                <w:b/>
                <w:bCs/>
                <w:sz w:val="22"/>
                <w:lang w:val="en-ID"/>
              </w:rPr>
            </w:pPr>
            <w:r w:rsidRPr="00D20A89">
              <w:rPr>
                <w:b/>
                <w:bCs/>
                <w:sz w:val="22"/>
                <w:lang w:val="en-ID"/>
              </w:rPr>
              <w:t>A2</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C970AA8" w14:textId="77777777" w:rsidR="00D20A89" w:rsidRPr="00D20A89" w:rsidRDefault="00D20A89" w:rsidP="00D20A89">
            <w:pPr>
              <w:spacing w:line="240" w:lineRule="auto"/>
              <w:jc w:val="both"/>
              <w:rPr>
                <w:b/>
                <w:bCs/>
                <w:sz w:val="22"/>
                <w:lang w:val="en-ID"/>
              </w:rPr>
            </w:pPr>
            <w:r w:rsidRPr="00D20A89">
              <w:rPr>
                <w:b/>
                <w:bCs/>
                <w:sz w:val="22"/>
                <w:lang w:val="en-ID"/>
              </w:rPr>
              <w:t>A3</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9808128" w14:textId="77777777" w:rsidR="00D20A89" w:rsidRPr="00D20A89" w:rsidRDefault="00D20A89" w:rsidP="00D20A89">
            <w:pPr>
              <w:spacing w:line="240" w:lineRule="auto"/>
              <w:jc w:val="both"/>
              <w:rPr>
                <w:b/>
                <w:bCs/>
                <w:sz w:val="22"/>
                <w:lang w:val="en-ID"/>
              </w:rPr>
            </w:pPr>
            <w:r w:rsidRPr="00D20A89">
              <w:rPr>
                <w:b/>
                <w:bCs/>
                <w:sz w:val="22"/>
                <w:lang w:val="en-ID"/>
              </w:rPr>
              <w:t>A4</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1E7C93B" w14:textId="77777777" w:rsidR="00D20A89" w:rsidRPr="00D20A89" w:rsidRDefault="00D20A89" w:rsidP="00D20A89">
            <w:pPr>
              <w:spacing w:line="240" w:lineRule="auto"/>
              <w:jc w:val="both"/>
              <w:rPr>
                <w:b/>
                <w:bCs/>
                <w:sz w:val="22"/>
                <w:lang w:val="en-ID"/>
              </w:rPr>
            </w:pPr>
            <w:r w:rsidRPr="00D20A89">
              <w:rPr>
                <w:b/>
                <w:bCs/>
                <w:sz w:val="22"/>
                <w:lang w:val="en-ID"/>
              </w:rPr>
              <w:t>A5</w:t>
            </w: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41F8CEA" w14:textId="77777777" w:rsidR="00D20A89" w:rsidRPr="00D20A89" w:rsidRDefault="00D20A89" w:rsidP="00D20A89">
            <w:pPr>
              <w:spacing w:line="240" w:lineRule="auto"/>
              <w:jc w:val="both"/>
              <w:rPr>
                <w:b/>
                <w:bCs/>
                <w:sz w:val="22"/>
                <w:lang w:val="en-ID"/>
              </w:rPr>
            </w:pPr>
            <w:r w:rsidRPr="00D20A89">
              <w:rPr>
                <w:b/>
                <w:bCs/>
                <w:sz w:val="22"/>
                <w:lang w:val="en-ID"/>
              </w:rPr>
              <w:t>A6</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96DB47E" w14:textId="77777777" w:rsidR="00D20A89" w:rsidRPr="00D20A89" w:rsidRDefault="00D20A89" w:rsidP="00D20A89">
            <w:pPr>
              <w:spacing w:line="240" w:lineRule="auto"/>
              <w:jc w:val="both"/>
              <w:rPr>
                <w:b/>
                <w:bCs/>
                <w:sz w:val="22"/>
                <w:lang w:val="en-ID"/>
              </w:rPr>
            </w:pPr>
            <w:r w:rsidRPr="00D20A89">
              <w:rPr>
                <w:b/>
                <w:bCs/>
                <w:sz w:val="22"/>
                <w:lang w:val="en-ID"/>
              </w:rPr>
              <w:t>A7</w:t>
            </w:r>
          </w:p>
        </w:tc>
        <w:tc>
          <w:tcPr>
            <w:tcW w:w="0" w:type="auto"/>
            <w:vMerge/>
            <w:tcBorders>
              <w:top w:val="single" w:sz="4" w:space="0" w:color="auto"/>
              <w:left w:val="single" w:sz="4" w:space="0" w:color="auto"/>
              <w:bottom w:val="nil"/>
              <w:right w:val="single" w:sz="4" w:space="0" w:color="auto"/>
            </w:tcBorders>
            <w:vAlign w:val="center"/>
            <w:hideMark/>
          </w:tcPr>
          <w:p w14:paraId="40B21B31" w14:textId="77777777" w:rsidR="00D20A89" w:rsidRPr="00D20A89" w:rsidRDefault="00D20A89" w:rsidP="00D20A89">
            <w:pPr>
              <w:spacing w:line="240" w:lineRule="auto"/>
              <w:jc w:val="both"/>
              <w:rPr>
                <w:b/>
                <w:bCs/>
                <w:sz w:val="22"/>
                <w:lang w:val="en-ID"/>
              </w:rPr>
            </w:pPr>
          </w:p>
        </w:tc>
      </w:tr>
      <w:tr w:rsidR="00D20A89" w:rsidRPr="00D20A89" w14:paraId="6ADF468C" w14:textId="77777777" w:rsidTr="00D20A89">
        <w:trPr>
          <w:trHeight w:val="315"/>
          <w:jc w:val="center"/>
        </w:trPr>
        <w:tc>
          <w:tcPr>
            <w:tcW w:w="183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5FEEE098" w14:textId="77777777" w:rsidR="00D20A89" w:rsidRPr="00D20A89" w:rsidRDefault="00D20A89" w:rsidP="00D20A89">
            <w:pPr>
              <w:spacing w:line="240" w:lineRule="auto"/>
              <w:jc w:val="both"/>
              <w:rPr>
                <w:bCs/>
                <w:sz w:val="22"/>
                <w:lang w:val="en-ID"/>
              </w:rPr>
            </w:pPr>
            <w:r w:rsidRPr="00D20A89">
              <w:rPr>
                <w:bCs/>
                <w:sz w:val="22"/>
                <w:lang w:val="en-AU"/>
              </w:rPr>
              <w:t>Kesalahan besaran peramalan</w:t>
            </w:r>
          </w:p>
        </w:tc>
        <w:tc>
          <w:tcPr>
            <w:tcW w:w="1005"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6A2B05B3" w14:textId="77777777" w:rsidR="00D20A89" w:rsidRPr="00D20A89" w:rsidRDefault="00D20A89" w:rsidP="00D20A89">
            <w:pPr>
              <w:spacing w:line="240" w:lineRule="auto"/>
              <w:jc w:val="center"/>
              <w:rPr>
                <w:bCs/>
                <w:sz w:val="22"/>
                <w:lang w:val="en-ID"/>
              </w:rPr>
            </w:pPr>
            <w:r w:rsidRPr="00D20A89">
              <w:rPr>
                <w:bCs/>
                <w:sz w:val="22"/>
                <w:lang w:val="en-AU"/>
              </w:rPr>
              <w:t>E1</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F86A61B" w14:textId="77777777" w:rsidR="00D20A89" w:rsidRPr="00D20A89" w:rsidRDefault="00D20A89" w:rsidP="00D20A89">
            <w:pPr>
              <w:spacing w:line="240" w:lineRule="auto"/>
              <w:jc w:val="center"/>
              <w:rPr>
                <w:bCs/>
                <w:sz w:val="22"/>
                <w:lang w:val="en-ID"/>
              </w:rPr>
            </w:pPr>
            <w:r w:rsidRPr="00D20A89">
              <w:rPr>
                <w:bCs/>
                <w:sz w:val="22"/>
                <w:lang w:val="en-ID"/>
              </w:rPr>
              <w:t>6,9</w:t>
            </w: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B9F19DF" w14:textId="77777777" w:rsidR="00D20A89" w:rsidRPr="00D20A89" w:rsidRDefault="00D20A89" w:rsidP="00D20A89">
            <w:pPr>
              <w:spacing w:line="240" w:lineRule="auto"/>
              <w:jc w:val="center"/>
              <w:rPr>
                <w:bCs/>
                <w:sz w:val="22"/>
                <w:lang w:val="en-ID"/>
              </w:rPr>
            </w:pPr>
            <w:r w:rsidRPr="00D20A89">
              <w:rPr>
                <w:bCs/>
                <w:sz w:val="22"/>
                <w:lang w:val="en-ID"/>
              </w:rPr>
              <w:t>7,8</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1B06577" w14:textId="77777777" w:rsidR="00D20A89" w:rsidRPr="00D20A89" w:rsidRDefault="00D20A89" w:rsidP="00D20A89">
            <w:pPr>
              <w:spacing w:line="240" w:lineRule="auto"/>
              <w:jc w:val="center"/>
              <w:rPr>
                <w:bCs/>
                <w:sz w:val="22"/>
                <w:lang w:val="en-ID"/>
              </w:rPr>
            </w:pPr>
            <w:r w:rsidRPr="00D20A89">
              <w:rPr>
                <w:bCs/>
                <w:sz w:val="22"/>
                <w:lang w:val="en-ID"/>
              </w:rPr>
              <w:t>5,9</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7315DD2" w14:textId="77777777" w:rsidR="00D20A89" w:rsidRPr="00D20A89" w:rsidRDefault="00D20A89" w:rsidP="00D20A89">
            <w:pPr>
              <w:spacing w:line="240" w:lineRule="auto"/>
              <w:jc w:val="center"/>
              <w:rPr>
                <w:bCs/>
                <w:sz w:val="22"/>
                <w:lang w:val="en-ID"/>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BE92817" w14:textId="77777777" w:rsidR="00D20A89" w:rsidRPr="00D20A89" w:rsidRDefault="00D20A89" w:rsidP="00D20A89">
            <w:pPr>
              <w:spacing w:line="240" w:lineRule="auto"/>
              <w:jc w:val="center"/>
              <w:rPr>
                <w:sz w:val="22"/>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AB3DC49"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116C5DE" w14:textId="77777777" w:rsidR="00D20A89" w:rsidRPr="00D20A89" w:rsidRDefault="00D20A89" w:rsidP="00D20A89">
            <w:pPr>
              <w:spacing w:line="240" w:lineRule="auto"/>
              <w:jc w:val="center"/>
              <w:rPr>
                <w:sz w:val="22"/>
              </w:rPr>
            </w:pP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1B1BE54" w14:textId="77777777" w:rsidR="00D20A89" w:rsidRPr="00D20A89" w:rsidRDefault="00D20A89" w:rsidP="00D20A89">
            <w:pPr>
              <w:spacing w:line="240" w:lineRule="auto"/>
              <w:jc w:val="center"/>
              <w:rPr>
                <w:bCs/>
                <w:sz w:val="22"/>
                <w:lang w:val="en-ID"/>
              </w:rPr>
            </w:pPr>
            <w:r w:rsidRPr="00D20A89">
              <w:rPr>
                <w:bCs/>
                <w:sz w:val="22"/>
                <w:lang w:val="en-AU"/>
              </w:rPr>
              <w:t>7</w:t>
            </w:r>
          </w:p>
        </w:tc>
      </w:tr>
      <w:tr w:rsidR="00D20A89" w:rsidRPr="00D20A89" w14:paraId="435F30EF" w14:textId="77777777" w:rsidTr="00D20A89">
        <w:trPr>
          <w:trHeight w:val="315"/>
          <w:jc w:val="center"/>
        </w:trPr>
        <w:tc>
          <w:tcPr>
            <w:tcW w:w="183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12A2653E" w14:textId="77777777" w:rsidR="00D20A89" w:rsidRPr="00D20A89" w:rsidRDefault="00D20A89" w:rsidP="00D20A89">
            <w:pPr>
              <w:spacing w:line="240" w:lineRule="auto"/>
              <w:jc w:val="both"/>
              <w:rPr>
                <w:bCs/>
                <w:sz w:val="22"/>
                <w:lang w:val="en-ID"/>
              </w:rPr>
            </w:pPr>
            <w:r w:rsidRPr="00D20A89">
              <w:rPr>
                <w:bCs/>
                <w:sz w:val="22"/>
                <w:lang w:val="en-AU"/>
              </w:rPr>
              <w:t>Perubahan rencana produksi yang mendadak</w:t>
            </w:r>
          </w:p>
        </w:tc>
        <w:tc>
          <w:tcPr>
            <w:tcW w:w="1005"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7B12C314" w14:textId="77777777" w:rsidR="00D20A89" w:rsidRPr="00D20A89" w:rsidRDefault="00D20A89" w:rsidP="00D20A89">
            <w:pPr>
              <w:spacing w:line="240" w:lineRule="auto"/>
              <w:jc w:val="center"/>
              <w:rPr>
                <w:bCs/>
                <w:sz w:val="22"/>
                <w:lang w:val="en-ID"/>
              </w:rPr>
            </w:pPr>
            <w:r w:rsidRPr="00D20A89">
              <w:rPr>
                <w:bCs/>
                <w:sz w:val="22"/>
                <w:lang w:val="en-AU"/>
              </w:rPr>
              <w:t>E2</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9D2C204" w14:textId="77777777" w:rsidR="00D20A89" w:rsidRPr="00D20A89" w:rsidRDefault="00D20A89" w:rsidP="00D20A89">
            <w:pPr>
              <w:spacing w:line="240" w:lineRule="auto"/>
              <w:jc w:val="center"/>
              <w:rPr>
                <w:bCs/>
                <w:sz w:val="22"/>
                <w:lang w:val="en-ID"/>
              </w:rPr>
            </w:pPr>
            <w:r w:rsidRPr="00D20A89">
              <w:rPr>
                <w:bCs/>
                <w:sz w:val="22"/>
                <w:lang w:val="en-ID"/>
              </w:rPr>
              <w:t>8,5</w:t>
            </w: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569CEB9" w14:textId="77777777" w:rsidR="00D20A89" w:rsidRPr="00D20A89" w:rsidRDefault="00D20A89" w:rsidP="00D20A89">
            <w:pPr>
              <w:spacing w:line="240" w:lineRule="auto"/>
              <w:jc w:val="center"/>
              <w:rPr>
                <w:bCs/>
                <w:sz w:val="22"/>
                <w:lang w:val="en-ID"/>
              </w:rPr>
            </w:pPr>
            <w:r w:rsidRPr="00D20A89">
              <w:rPr>
                <w:bCs/>
                <w:sz w:val="22"/>
                <w:lang w:val="en-ID"/>
              </w:rPr>
              <w:t>8,8</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72C5CB0" w14:textId="77777777" w:rsidR="00D20A89" w:rsidRPr="00D20A89" w:rsidRDefault="00D20A89" w:rsidP="00D20A89">
            <w:pPr>
              <w:spacing w:line="240" w:lineRule="auto"/>
              <w:jc w:val="center"/>
              <w:rPr>
                <w:bCs/>
                <w:sz w:val="22"/>
                <w:lang w:val="en-ID"/>
              </w:rPr>
            </w:pPr>
            <w:r w:rsidRPr="00D20A89">
              <w:rPr>
                <w:bCs/>
                <w:sz w:val="22"/>
                <w:lang w:val="en-ID"/>
              </w:rPr>
              <w:t>5,5</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BEC785F" w14:textId="77777777" w:rsidR="00D20A89" w:rsidRPr="00D20A89" w:rsidRDefault="00D20A89" w:rsidP="00D20A89">
            <w:pPr>
              <w:spacing w:line="240" w:lineRule="auto"/>
              <w:jc w:val="center"/>
              <w:rPr>
                <w:bCs/>
                <w:sz w:val="22"/>
                <w:lang w:val="en-ID"/>
              </w:rPr>
            </w:pPr>
            <w:r w:rsidRPr="00D20A89">
              <w:rPr>
                <w:bCs/>
                <w:sz w:val="22"/>
                <w:lang w:val="en-ID"/>
              </w:rPr>
              <w:t>8,1</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9D2A356" w14:textId="77777777" w:rsidR="00D20A89" w:rsidRPr="00D20A89" w:rsidRDefault="00D20A89" w:rsidP="00D20A89">
            <w:pPr>
              <w:spacing w:line="240" w:lineRule="auto"/>
              <w:jc w:val="center"/>
              <w:rPr>
                <w:bCs/>
                <w:sz w:val="22"/>
                <w:lang w:val="en-ID"/>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0D0F761"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BAF159C" w14:textId="77777777" w:rsidR="00D20A89" w:rsidRPr="00D20A89" w:rsidRDefault="00D20A89" w:rsidP="00D20A89">
            <w:pPr>
              <w:spacing w:line="240" w:lineRule="auto"/>
              <w:jc w:val="center"/>
              <w:rPr>
                <w:sz w:val="22"/>
              </w:rPr>
            </w:pP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6DCE58D" w14:textId="77777777" w:rsidR="00D20A89" w:rsidRPr="00D20A89" w:rsidRDefault="00D20A89" w:rsidP="00D20A89">
            <w:pPr>
              <w:spacing w:line="240" w:lineRule="auto"/>
              <w:jc w:val="center"/>
              <w:rPr>
                <w:bCs/>
                <w:sz w:val="22"/>
                <w:lang w:val="en-ID"/>
              </w:rPr>
            </w:pPr>
            <w:r w:rsidRPr="00D20A89">
              <w:rPr>
                <w:bCs/>
                <w:sz w:val="22"/>
                <w:lang w:val="en-AU"/>
              </w:rPr>
              <w:t>8</w:t>
            </w:r>
          </w:p>
        </w:tc>
      </w:tr>
      <w:tr w:rsidR="00D20A89" w:rsidRPr="00D20A89" w14:paraId="746E977C" w14:textId="77777777" w:rsidTr="00D20A89">
        <w:trPr>
          <w:trHeight w:val="315"/>
          <w:jc w:val="center"/>
        </w:trPr>
        <w:tc>
          <w:tcPr>
            <w:tcW w:w="183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35E50B14" w14:textId="77777777" w:rsidR="00D20A89" w:rsidRPr="00D20A89" w:rsidRDefault="00D20A89" w:rsidP="00D20A89">
            <w:pPr>
              <w:spacing w:line="240" w:lineRule="auto"/>
              <w:jc w:val="both"/>
              <w:rPr>
                <w:bCs/>
                <w:sz w:val="22"/>
                <w:lang w:val="en-ID"/>
              </w:rPr>
            </w:pPr>
            <w:r w:rsidRPr="00D20A89">
              <w:rPr>
                <w:bCs/>
                <w:sz w:val="22"/>
                <w:lang w:val="en-AU"/>
              </w:rPr>
              <w:t>Perencanaan permintaan tidak sesuai dengan perencanaan finasial</w:t>
            </w:r>
          </w:p>
        </w:tc>
        <w:tc>
          <w:tcPr>
            <w:tcW w:w="1005"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2EE6D855" w14:textId="77777777" w:rsidR="00D20A89" w:rsidRPr="00D20A89" w:rsidRDefault="00D20A89" w:rsidP="00D20A89">
            <w:pPr>
              <w:spacing w:line="240" w:lineRule="auto"/>
              <w:jc w:val="center"/>
              <w:rPr>
                <w:bCs/>
                <w:sz w:val="22"/>
                <w:lang w:val="en-ID"/>
              </w:rPr>
            </w:pPr>
            <w:r w:rsidRPr="00D20A89">
              <w:rPr>
                <w:bCs/>
                <w:sz w:val="22"/>
                <w:lang w:val="en-AU"/>
              </w:rPr>
              <w:t>E3</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905F517" w14:textId="77777777" w:rsidR="00D20A89" w:rsidRPr="00D20A89" w:rsidRDefault="00D20A89" w:rsidP="00D20A89">
            <w:pPr>
              <w:spacing w:line="240" w:lineRule="auto"/>
              <w:jc w:val="center"/>
              <w:rPr>
                <w:bCs/>
                <w:sz w:val="22"/>
                <w:lang w:val="en-ID"/>
              </w:rPr>
            </w:pPr>
            <w:r w:rsidRPr="00D20A89">
              <w:rPr>
                <w:bCs/>
                <w:sz w:val="22"/>
                <w:lang w:val="en-ID"/>
              </w:rPr>
              <w:t>8,2</w:t>
            </w: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49866BF" w14:textId="77777777" w:rsidR="00D20A89" w:rsidRPr="00D20A89" w:rsidRDefault="00D20A89" w:rsidP="00D20A89">
            <w:pPr>
              <w:spacing w:line="240" w:lineRule="auto"/>
              <w:jc w:val="center"/>
              <w:rPr>
                <w:bCs/>
                <w:sz w:val="22"/>
                <w:lang w:val="en-ID"/>
              </w:rPr>
            </w:pPr>
            <w:r w:rsidRPr="00D20A89">
              <w:rPr>
                <w:bCs/>
                <w:sz w:val="22"/>
                <w:lang w:val="en-ID"/>
              </w:rPr>
              <w:t>8,6</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5AA7CBD" w14:textId="77777777" w:rsidR="00D20A89" w:rsidRPr="00D20A89" w:rsidRDefault="00D20A89" w:rsidP="00D20A89">
            <w:pPr>
              <w:spacing w:line="240" w:lineRule="auto"/>
              <w:jc w:val="center"/>
              <w:rPr>
                <w:bCs/>
                <w:sz w:val="22"/>
                <w:lang w:val="en-ID"/>
              </w:rPr>
            </w:pPr>
            <w:r w:rsidRPr="00D20A89">
              <w:rPr>
                <w:bCs/>
                <w:sz w:val="22"/>
                <w:lang w:val="en-ID"/>
              </w:rPr>
              <w:t>5,6</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8801FD8" w14:textId="77777777" w:rsidR="00D20A89" w:rsidRPr="00D20A89" w:rsidRDefault="00D20A89" w:rsidP="00D20A89">
            <w:pPr>
              <w:spacing w:line="240" w:lineRule="auto"/>
              <w:jc w:val="center"/>
              <w:rPr>
                <w:bCs/>
                <w:sz w:val="22"/>
                <w:lang w:val="en-ID"/>
              </w:rPr>
            </w:pPr>
            <w:r w:rsidRPr="00D20A89">
              <w:rPr>
                <w:bCs/>
                <w:sz w:val="22"/>
                <w:lang w:val="en-ID"/>
              </w:rPr>
              <w:t>8,3</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652A2B8" w14:textId="77777777" w:rsidR="00D20A89" w:rsidRPr="00D20A89" w:rsidRDefault="00D20A89" w:rsidP="00D20A89">
            <w:pPr>
              <w:spacing w:line="240" w:lineRule="auto"/>
              <w:jc w:val="center"/>
              <w:rPr>
                <w:bCs/>
                <w:sz w:val="22"/>
                <w:lang w:val="en-ID"/>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B39536D"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1422343" w14:textId="77777777" w:rsidR="00D20A89" w:rsidRPr="00D20A89" w:rsidRDefault="00D20A89" w:rsidP="00D20A89">
            <w:pPr>
              <w:spacing w:line="240" w:lineRule="auto"/>
              <w:jc w:val="center"/>
              <w:rPr>
                <w:sz w:val="22"/>
              </w:rPr>
            </w:pP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14F90B0" w14:textId="77777777" w:rsidR="00D20A89" w:rsidRPr="00D20A89" w:rsidRDefault="00D20A89" w:rsidP="00D20A89">
            <w:pPr>
              <w:spacing w:line="240" w:lineRule="auto"/>
              <w:jc w:val="center"/>
              <w:rPr>
                <w:bCs/>
                <w:sz w:val="22"/>
                <w:lang w:val="en-ID"/>
              </w:rPr>
            </w:pPr>
            <w:r w:rsidRPr="00D20A89">
              <w:rPr>
                <w:bCs/>
                <w:sz w:val="22"/>
                <w:lang w:val="en-AU"/>
              </w:rPr>
              <w:t>5,1</w:t>
            </w:r>
          </w:p>
        </w:tc>
      </w:tr>
      <w:tr w:rsidR="00D20A89" w:rsidRPr="00D20A89" w14:paraId="3BAEBFA6" w14:textId="77777777" w:rsidTr="00D20A89">
        <w:trPr>
          <w:trHeight w:val="315"/>
          <w:jc w:val="center"/>
        </w:trPr>
        <w:tc>
          <w:tcPr>
            <w:tcW w:w="183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51B6714C" w14:textId="77777777" w:rsidR="00D20A89" w:rsidRPr="00D20A89" w:rsidRDefault="00D20A89" w:rsidP="00D20A89">
            <w:pPr>
              <w:spacing w:line="240" w:lineRule="auto"/>
              <w:jc w:val="both"/>
              <w:rPr>
                <w:bCs/>
                <w:sz w:val="22"/>
                <w:lang w:val="en-ID"/>
              </w:rPr>
            </w:pPr>
            <w:r w:rsidRPr="00D20A89">
              <w:rPr>
                <w:bCs/>
                <w:sz w:val="22"/>
                <w:lang w:val="en-AU"/>
              </w:rPr>
              <w:t>Perencanaan kapasitas yang tidak sesuai dengan yang direncanakan</w:t>
            </w:r>
          </w:p>
        </w:tc>
        <w:tc>
          <w:tcPr>
            <w:tcW w:w="1005"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5F25572F" w14:textId="77777777" w:rsidR="00D20A89" w:rsidRPr="00D20A89" w:rsidRDefault="00D20A89" w:rsidP="00D20A89">
            <w:pPr>
              <w:spacing w:line="240" w:lineRule="auto"/>
              <w:jc w:val="center"/>
              <w:rPr>
                <w:bCs/>
                <w:sz w:val="22"/>
                <w:lang w:val="en-ID"/>
              </w:rPr>
            </w:pPr>
            <w:r w:rsidRPr="00D20A89">
              <w:rPr>
                <w:bCs/>
                <w:sz w:val="22"/>
                <w:lang w:val="en-AU"/>
              </w:rPr>
              <w:t>E4</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68E9977" w14:textId="77777777" w:rsidR="00D20A89" w:rsidRPr="00D20A89" w:rsidRDefault="00D20A89" w:rsidP="00D20A89">
            <w:pPr>
              <w:spacing w:line="240" w:lineRule="auto"/>
              <w:jc w:val="center"/>
              <w:rPr>
                <w:bCs/>
                <w:sz w:val="22"/>
                <w:lang w:val="en-ID"/>
              </w:rPr>
            </w:pPr>
            <w:r w:rsidRPr="00D20A89">
              <w:rPr>
                <w:bCs/>
                <w:sz w:val="22"/>
                <w:lang w:val="en-ID"/>
              </w:rPr>
              <w:t>7,6</w:t>
            </w: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7A23995" w14:textId="77777777" w:rsidR="00D20A89" w:rsidRPr="00D20A89" w:rsidRDefault="00D20A89" w:rsidP="00D20A89">
            <w:pPr>
              <w:spacing w:line="240" w:lineRule="auto"/>
              <w:jc w:val="center"/>
              <w:rPr>
                <w:bCs/>
                <w:sz w:val="22"/>
                <w:lang w:val="en-ID"/>
              </w:rPr>
            </w:pPr>
            <w:r w:rsidRPr="00D20A89">
              <w:rPr>
                <w:bCs/>
                <w:sz w:val="22"/>
                <w:lang w:val="en-ID"/>
              </w:rPr>
              <w:t>8,7</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587CA51" w14:textId="77777777" w:rsidR="00D20A89" w:rsidRPr="00D20A89" w:rsidRDefault="00D20A89" w:rsidP="00D20A89">
            <w:pPr>
              <w:spacing w:line="240" w:lineRule="auto"/>
              <w:jc w:val="center"/>
              <w:rPr>
                <w:bCs/>
                <w:sz w:val="22"/>
                <w:lang w:val="en-ID"/>
              </w:rPr>
            </w:pP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5696051" w14:textId="77777777" w:rsidR="00D20A89" w:rsidRPr="00D20A89" w:rsidRDefault="00D20A89" w:rsidP="00D20A89">
            <w:pPr>
              <w:spacing w:line="240" w:lineRule="auto"/>
              <w:jc w:val="center"/>
              <w:rPr>
                <w:bCs/>
                <w:sz w:val="22"/>
                <w:lang w:val="en-ID"/>
              </w:rPr>
            </w:pPr>
            <w:r w:rsidRPr="00D20A89">
              <w:rPr>
                <w:bCs/>
                <w:sz w:val="22"/>
                <w:lang w:val="en-ID"/>
              </w:rPr>
              <w:t>8,4</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6A0C391" w14:textId="77777777" w:rsidR="00D20A89" w:rsidRPr="00D20A89" w:rsidRDefault="00D20A89" w:rsidP="00D20A89">
            <w:pPr>
              <w:spacing w:line="240" w:lineRule="auto"/>
              <w:jc w:val="center"/>
              <w:rPr>
                <w:bCs/>
                <w:sz w:val="22"/>
                <w:lang w:val="en-ID"/>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07B57BC"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6E19AC5" w14:textId="77777777" w:rsidR="00D20A89" w:rsidRPr="00D20A89" w:rsidRDefault="00D20A89" w:rsidP="00D20A89">
            <w:pPr>
              <w:spacing w:line="240" w:lineRule="auto"/>
              <w:jc w:val="center"/>
              <w:rPr>
                <w:sz w:val="22"/>
              </w:rPr>
            </w:pP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7FB3861" w14:textId="77777777" w:rsidR="00D20A89" w:rsidRPr="00D20A89" w:rsidRDefault="00D20A89" w:rsidP="00D20A89">
            <w:pPr>
              <w:spacing w:line="240" w:lineRule="auto"/>
              <w:jc w:val="center"/>
              <w:rPr>
                <w:bCs/>
                <w:sz w:val="22"/>
                <w:lang w:val="en-ID"/>
              </w:rPr>
            </w:pPr>
            <w:r w:rsidRPr="00D20A89">
              <w:rPr>
                <w:bCs/>
                <w:sz w:val="22"/>
                <w:lang w:val="en-AU"/>
              </w:rPr>
              <w:t>7,6</w:t>
            </w:r>
          </w:p>
        </w:tc>
      </w:tr>
      <w:tr w:rsidR="00D20A89" w:rsidRPr="00D20A89" w14:paraId="1EC526AD" w14:textId="77777777" w:rsidTr="00D20A89">
        <w:trPr>
          <w:trHeight w:val="315"/>
          <w:jc w:val="center"/>
        </w:trPr>
        <w:tc>
          <w:tcPr>
            <w:tcW w:w="1838"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39FB180D" w14:textId="77777777" w:rsidR="00D20A89" w:rsidRPr="00D20A89" w:rsidRDefault="00D20A89" w:rsidP="00D20A89">
            <w:pPr>
              <w:spacing w:line="240" w:lineRule="auto"/>
              <w:jc w:val="both"/>
              <w:rPr>
                <w:bCs/>
                <w:sz w:val="22"/>
                <w:lang w:val="en-ID"/>
              </w:rPr>
            </w:pPr>
            <w:r w:rsidRPr="00D20A89">
              <w:rPr>
                <w:bCs/>
                <w:sz w:val="22"/>
                <w:lang w:val="en-AU"/>
              </w:rPr>
              <w:t>Terganggunya pasokan bibit</w:t>
            </w:r>
          </w:p>
        </w:tc>
        <w:tc>
          <w:tcPr>
            <w:tcW w:w="1005" w:type="dxa"/>
            <w:tcBorders>
              <w:top w:val="single" w:sz="4" w:space="0" w:color="auto"/>
              <w:left w:val="single" w:sz="4" w:space="0" w:color="auto"/>
              <w:bottom w:val="nil"/>
              <w:right w:val="single" w:sz="4" w:space="0" w:color="auto"/>
            </w:tcBorders>
            <w:noWrap/>
            <w:tcMar>
              <w:top w:w="15" w:type="dxa"/>
              <w:left w:w="108" w:type="dxa"/>
              <w:bottom w:w="15" w:type="dxa"/>
              <w:right w:w="108" w:type="dxa"/>
            </w:tcMar>
            <w:vAlign w:val="center"/>
            <w:hideMark/>
          </w:tcPr>
          <w:p w14:paraId="70D66EE8" w14:textId="77777777" w:rsidR="00D20A89" w:rsidRPr="00D20A89" w:rsidRDefault="00D20A89" w:rsidP="00D20A89">
            <w:pPr>
              <w:spacing w:line="240" w:lineRule="auto"/>
              <w:jc w:val="center"/>
              <w:rPr>
                <w:bCs/>
                <w:sz w:val="22"/>
                <w:lang w:val="en-ID"/>
              </w:rPr>
            </w:pPr>
            <w:r w:rsidRPr="00D20A89">
              <w:rPr>
                <w:bCs/>
                <w:sz w:val="22"/>
                <w:lang w:val="en-AU"/>
              </w:rPr>
              <w:t>E5</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D699F5B" w14:textId="77777777" w:rsidR="00D20A89" w:rsidRPr="00D20A89" w:rsidRDefault="00D20A89" w:rsidP="00D20A89">
            <w:pPr>
              <w:spacing w:line="240" w:lineRule="auto"/>
              <w:jc w:val="center"/>
              <w:rPr>
                <w:bCs/>
                <w:sz w:val="22"/>
                <w:lang w:val="en-ID"/>
              </w:rPr>
            </w:pP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813679D"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B7AA7C2" w14:textId="77777777" w:rsidR="00D20A89" w:rsidRPr="00D20A89" w:rsidRDefault="00D20A89" w:rsidP="00D20A89">
            <w:pPr>
              <w:spacing w:line="240" w:lineRule="auto"/>
              <w:jc w:val="center"/>
              <w:rPr>
                <w:bCs/>
                <w:sz w:val="22"/>
                <w:lang w:val="en-ID"/>
              </w:rPr>
            </w:pPr>
            <w:r w:rsidRPr="00D20A89">
              <w:rPr>
                <w:bCs/>
                <w:sz w:val="22"/>
                <w:lang w:val="en-ID"/>
              </w:rPr>
              <w:t>4,4</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B82A061" w14:textId="77777777" w:rsidR="00D20A89" w:rsidRPr="00D20A89" w:rsidRDefault="00D20A89" w:rsidP="00D20A89">
            <w:pPr>
              <w:spacing w:line="240" w:lineRule="auto"/>
              <w:jc w:val="center"/>
              <w:rPr>
                <w:bCs/>
                <w:sz w:val="22"/>
                <w:lang w:val="en-ID"/>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D4FA073" w14:textId="77777777" w:rsidR="00D20A89" w:rsidRPr="00D20A89" w:rsidRDefault="00D20A89" w:rsidP="00D20A89">
            <w:pPr>
              <w:spacing w:line="240" w:lineRule="auto"/>
              <w:jc w:val="center"/>
              <w:rPr>
                <w:bCs/>
                <w:sz w:val="22"/>
                <w:lang w:val="en-ID"/>
              </w:rPr>
            </w:pPr>
            <w:r w:rsidRPr="00D20A89">
              <w:rPr>
                <w:bCs/>
                <w:sz w:val="22"/>
                <w:lang w:val="en-ID"/>
              </w:rPr>
              <w:t>8,3</w:t>
            </w: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2CB353E" w14:textId="77777777" w:rsidR="00D20A89" w:rsidRPr="00D20A89" w:rsidRDefault="00D20A89" w:rsidP="00D20A89">
            <w:pPr>
              <w:spacing w:line="240" w:lineRule="auto"/>
              <w:jc w:val="center"/>
              <w:rPr>
                <w:bCs/>
                <w:sz w:val="22"/>
                <w:lang w:val="en-ID"/>
              </w:rPr>
            </w:pPr>
            <w:r w:rsidRPr="00D20A89">
              <w:rPr>
                <w:bCs/>
                <w:sz w:val="22"/>
                <w:lang w:val="en-ID"/>
              </w:rPr>
              <w:t>9,0</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8C660B8" w14:textId="77777777" w:rsidR="00D20A89" w:rsidRPr="00D20A89" w:rsidRDefault="00D20A89" w:rsidP="00D20A89">
            <w:pPr>
              <w:spacing w:line="240" w:lineRule="auto"/>
              <w:jc w:val="center"/>
              <w:rPr>
                <w:bCs/>
                <w:sz w:val="22"/>
                <w:lang w:val="en-ID"/>
              </w:rPr>
            </w:pP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D793A7A" w14:textId="77777777" w:rsidR="00D20A89" w:rsidRPr="00D20A89" w:rsidRDefault="00D20A89" w:rsidP="00D20A89">
            <w:pPr>
              <w:spacing w:line="240" w:lineRule="auto"/>
              <w:jc w:val="center"/>
              <w:rPr>
                <w:bCs/>
                <w:sz w:val="22"/>
                <w:lang w:val="en-ID"/>
              </w:rPr>
            </w:pPr>
            <w:r w:rsidRPr="00D20A89">
              <w:rPr>
                <w:bCs/>
                <w:sz w:val="22"/>
                <w:lang w:val="en-AU"/>
              </w:rPr>
              <w:t>8,6</w:t>
            </w:r>
          </w:p>
        </w:tc>
      </w:tr>
      <w:tr w:rsidR="00D20A89" w:rsidRPr="00D20A89" w14:paraId="104FAB2C" w14:textId="77777777" w:rsidTr="00D20A89">
        <w:trPr>
          <w:trHeight w:val="315"/>
          <w:jc w:val="center"/>
        </w:trPr>
        <w:tc>
          <w:tcPr>
            <w:tcW w:w="183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C6971D9" w14:textId="77777777" w:rsidR="00D20A89" w:rsidRPr="00D20A89" w:rsidRDefault="00D20A89" w:rsidP="00D20A89">
            <w:pPr>
              <w:spacing w:line="240" w:lineRule="auto"/>
              <w:jc w:val="both"/>
              <w:rPr>
                <w:bCs/>
                <w:sz w:val="22"/>
                <w:lang w:val="en-ID"/>
              </w:rPr>
            </w:pPr>
            <w:r w:rsidRPr="00D20A89">
              <w:rPr>
                <w:bCs/>
                <w:sz w:val="22"/>
                <w:lang w:val="en-AU"/>
              </w:rPr>
              <w:t>Kualitas bibit yang tidak memenuhi kualifikasi</w:t>
            </w:r>
          </w:p>
        </w:tc>
        <w:tc>
          <w:tcPr>
            <w:tcW w:w="10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44151BF" w14:textId="77777777" w:rsidR="00D20A89" w:rsidRPr="00D20A89" w:rsidRDefault="00D20A89" w:rsidP="00D20A89">
            <w:pPr>
              <w:spacing w:line="240" w:lineRule="auto"/>
              <w:jc w:val="center"/>
              <w:rPr>
                <w:bCs/>
                <w:sz w:val="22"/>
                <w:lang w:val="en-ID"/>
              </w:rPr>
            </w:pPr>
            <w:r w:rsidRPr="00D20A89">
              <w:rPr>
                <w:bCs/>
                <w:sz w:val="22"/>
                <w:lang w:val="en-AU"/>
              </w:rPr>
              <w:t>E6</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8E9E3E8" w14:textId="77777777" w:rsidR="00D20A89" w:rsidRPr="00D20A89" w:rsidRDefault="00D20A89" w:rsidP="00D20A89">
            <w:pPr>
              <w:spacing w:line="240" w:lineRule="auto"/>
              <w:jc w:val="center"/>
              <w:rPr>
                <w:bCs/>
                <w:sz w:val="22"/>
                <w:lang w:val="en-ID"/>
              </w:rPr>
            </w:pP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FD8F4C0"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1324FCE" w14:textId="77777777" w:rsidR="00D20A89" w:rsidRPr="00D20A89" w:rsidRDefault="00D20A89" w:rsidP="00D20A89">
            <w:pPr>
              <w:spacing w:line="240" w:lineRule="auto"/>
              <w:jc w:val="center"/>
              <w:rPr>
                <w:bCs/>
                <w:sz w:val="22"/>
                <w:lang w:val="en-ID"/>
              </w:rPr>
            </w:pPr>
            <w:r w:rsidRPr="00D20A89">
              <w:rPr>
                <w:bCs/>
                <w:sz w:val="22"/>
                <w:lang w:val="en-ID"/>
              </w:rPr>
              <w:t>7,6</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22C5473" w14:textId="77777777" w:rsidR="00D20A89" w:rsidRPr="00D20A89" w:rsidRDefault="00D20A89" w:rsidP="00D20A89">
            <w:pPr>
              <w:spacing w:line="240" w:lineRule="auto"/>
              <w:jc w:val="center"/>
              <w:rPr>
                <w:bCs/>
                <w:sz w:val="22"/>
                <w:lang w:val="en-ID"/>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9B0859D" w14:textId="77777777" w:rsidR="00D20A89" w:rsidRPr="00D20A89" w:rsidRDefault="00D20A89" w:rsidP="00D20A89">
            <w:pPr>
              <w:spacing w:line="240" w:lineRule="auto"/>
              <w:jc w:val="center"/>
              <w:rPr>
                <w:sz w:val="22"/>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402969A"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2585F20" w14:textId="77777777" w:rsidR="00D20A89" w:rsidRPr="00D20A89" w:rsidRDefault="00D20A89" w:rsidP="00D20A89">
            <w:pPr>
              <w:spacing w:line="240" w:lineRule="auto"/>
              <w:jc w:val="center"/>
              <w:rPr>
                <w:bCs/>
                <w:sz w:val="22"/>
                <w:lang w:val="en-ID"/>
              </w:rPr>
            </w:pPr>
            <w:r w:rsidRPr="00D20A89">
              <w:rPr>
                <w:bCs/>
                <w:sz w:val="22"/>
                <w:lang w:val="en-ID"/>
              </w:rPr>
              <w:t>9,0</w:t>
            </w: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346058C" w14:textId="77777777" w:rsidR="00D20A89" w:rsidRPr="00D20A89" w:rsidRDefault="00D20A89" w:rsidP="00D20A89">
            <w:pPr>
              <w:spacing w:line="240" w:lineRule="auto"/>
              <w:jc w:val="center"/>
              <w:rPr>
                <w:bCs/>
                <w:sz w:val="22"/>
                <w:lang w:val="en-ID"/>
              </w:rPr>
            </w:pPr>
            <w:r w:rsidRPr="00D20A89">
              <w:rPr>
                <w:bCs/>
                <w:sz w:val="22"/>
                <w:lang w:val="en-AU"/>
              </w:rPr>
              <w:t>8,7</w:t>
            </w:r>
          </w:p>
        </w:tc>
      </w:tr>
      <w:tr w:rsidR="00D20A89" w:rsidRPr="00D20A89" w14:paraId="55BC28B1" w14:textId="77777777" w:rsidTr="00D20A89">
        <w:trPr>
          <w:trHeight w:val="345"/>
          <w:jc w:val="center"/>
        </w:trPr>
        <w:tc>
          <w:tcPr>
            <w:tcW w:w="183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B666C42" w14:textId="77777777" w:rsidR="00D20A89" w:rsidRPr="00D20A89" w:rsidRDefault="00D20A89" w:rsidP="00D20A89">
            <w:pPr>
              <w:spacing w:line="240" w:lineRule="auto"/>
              <w:jc w:val="both"/>
              <w:rPr>
                <w:bCs/>
                <w:sz w:val="22"/>
                <w:lang w:val="en-ID"/>
              </w:rPr>
            </w:pPr>
            <w:r w:rsidRPr="00D20A89">
              <w:rPr>
                <w:bCs/>
                <w:sz w:val="22"/>
                <w:lang w:val="en-AU"/>
              </w:rPr>
              <w:t xml:space="preserve">Kesalahan item yang dikirim </w:t>
            </w:r>
          </w:p>
        </w:tc>
        <w:tc>
          <w:tcPr>
            <w:tcW w:w="10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353FF70" w14:textId="77777777" w:rsidR="00D20A89" w:rsidRPr="00D20A89" w:rsidRDefault="00D20A89" w:rsidP="00D20A89">
            <w:pPr>
              <w:spacing w:line="240" w:lineRule="auto"/>
              <w:jc w:val="center"/>
              <w:rPr>
                <w:bCs/>
                <w:sz w:val="22"/>
                <w:lang w:val="en-ID"/>
              </w:rPr>
            </w:pPr>
            <w:r w:rsidRPr="00D20A89">
              <w:rPr>
                <w:bCs/>
                <w:sz w:val="22"/>
                <w:lang w:val="en-AU"/>
              </w:rPr>
              <w:t>E7</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87B2EE6" w14:textId="77777777" w:rsidR="00D20A89" w:rsidRPr="00D20A89" w:rsidRDefault="00D20A89" w:rsidP="00D20A89">
            <w:pPr>
              <w:spacing w:line="240" w:lineRule="auto"/>
              <w:jc w:val="center"/>
              <w:rPr>
                <w:bCs/>
                <w:sz w:val="22"/>
                <w:lang w:val="en-ID"/>
              </w:rPr>
            </w:pP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8C304C6"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C9AFAE5" w14:textId="77777777" w:rsidR="00D20A89" w:rsidRPr="00D20A89" w:rsidRDefault="00D20A89" w:rsidP="00D20A89">
            <w:pPr>
              <w:spacing w:line="240" w:lineRule="auto"/>
              <w:jc w:val="center"/>
              <w:rPr>
                <w:bCs/>
                <w:sz w:val="22"/>
                <w:lang w:val="en-ID"/>
              </w:rPr>
            </w:pPr>
            <w:r w:rsidRPr="00D20A89">
              <w:rPr>
                <w:bCs/>
                <w:sz w:val="22"/>
                <w:lang w:val="en-ID"/>
              </w:rPr>
              <w:t>7,2</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097EA4C" w14:textId="77777777" w:rsidR="00D20A89" w:rsidRPr="00D20A89" w:rsidRDefault="00D20A89" w:rsidP="00D20A89">
            <w:pPr>
              <w:spacing w:line="240" w:lineRule="auto"/>
              <w:jc w:val="center"/>
              <w:rPr>
                <w:bCs/>
                <w:sz w:val="22"/>
                <w:lang w:val="en-ID"/>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F044DE8" w14:textId="77777777" w:rsidR="00D20A89" w:rsidRPr="00D20A89" w:rsidRDefault="00D20A89" w:rsidP="00D20A89">
            <w:pPr>
              <w:spacing w:line="240" w:lineRule="auto"/>
              <w:jc w:val="center"/>
              <w:rPr>
                <w:sz w:val="22"/>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32DB77E"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BE51A23" w14:textId="77777777" w:rsidR="00D20A89" w:rsidRPr="00D20A89" w:rsidRDefault="00D20A89" w:rsidP="00D20A89">
            <w:pPr>
              <w:spacing w:line="240" w:lineRule="auto"/>
              <w:jc w:val="center"/>
              <w:rPr>
                <w:sz w:val="22"/>
              </w:rPr>
            </w:pP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F28A7D9" w14:textId="77777777" w:rsidR="00D20A89" w:rsidRPr="00D20A89" w:rsidRDefault="00D20A89" w:rsidP="00D20A89">
            <w:pPr>
              <w:spacing w:line="240" w:lineRule="auto"/>
              <w:jc w:val="center"/>
              <w:rPr>
                <w:bCs/>
                <w:sz w:val="22"/>
                <w:lang w:val="en-ID"/>
              </w:rPr>
            </w:pPr>
            <w:r w:rsidRPr="00D20A89">
              <w:rPr>
                <w:bCs/>
                <w:sz w:val="22"/>
                <w:lang w:val="en-AU"/>
              </w:rPr>
              <w:t>6,4</w:t>
            </w:r>
          </w:p>
        </w:tc>
      </w:tr>
      <w:tr w:rsidR="00D20A89" w:rsidRPr="00D20A89" w14:paraId="2EE19791" w14:textId="77777777" w:rsidTr="00D20A89">
        <w:trPr>
          <w:trHeight w:val="375"/>
          <w:jc w:val="center"/>
        </w:trPr>
        <w:tc>
          <w:tcPr>
            <w:tcW w:w="183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E71E7B1" w14:textId="77777777" w:rsidR="00D20A89" w:rsidRPr="00D20A89" w:rsidRDefault="00D20A89" w:rsidP="00D20A89">
            <w:pPr>
              <w:spacing w:line="240" w:lineRule="auto"/>
              <w:jc w:val="both"/>
              <w:rPr>
                <w:bCs/>
                <w:sz w:val="22"/>
                <w:lang w:val="en-ID"/>
              </w:rPr>
            </w:pPr>
            <w:r w:rsidRPr="00D20A89">
              <w:rPr>
                <w:bCs/>
                <w:sz w:val="22"/>
                <w:lang w:val="en-AU"/>
              </w:rPr>
              <w:t>Hasil Produksi Menurun</w:t>
            </w:r>
          </w:p>
        </w:tc>
        <w:tc>
          <w:tcPr>
            <w:tcW w:w="10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2D23F86" w14:textId="77777777" w:rsidR="00D20A89" w:rsidRPr="00D20A89" w:rsidRDefault="00D20A89" w:rsidP="00D20A89">
            <w:pPr>
              <w:spacing w:line="240" w:lineRule="auto"/>
              <w:jc w:val="center"/>
              <w:rPr>
                <w:bCs/>
                <w:sz w:val="22"/>
                <w:lang w:val="en-ID"/>
              </w:rPr>
            </w:pPr>
            <w:r w:rsidRPr="00D20A89">
              <w:rPr>
                <w:bCs/>
                <w:sz w:val="22"/>
                <w:lang w:val="en-AU"/>
              </w:rPr>
              <w:t>E8</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6DBE9CC" w14:textId="77777777" w:rsidR="00D20A89" w:rsidRPr="00D20A89" w:rsidRDefault="00D20A89" w:rsidP="00D20A89">
            <w:pPr>
              <w:spacing w:line="240" w:lineRule="auto"/>
              <w:jc w:val="center"/>
              <w:rPr>
                <w:bCs/>
                <w:sz w:val="22"/>
                <w:lang w:val="en-ID"/>
              </w:rPr>
            </w:pP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DA50317"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E7443E0" w14:textId="77777777" w:rsidR="00D20A89" w:rsidRPr="00D20A89" w:rsidRDefault="00D20A89" w:rsidP="00D20A89">
            <w:pPr>
              <w:spacing w:line="240" w:lineRule="auto"/>
              <w:jc w:val="center"/>
              <w:rPr>
                <w:bCs/>
                <w:sz w:val="22"/>
                <w:lang w:val="en-ID"/>
              </w:rPr>
            </w:pPr>
            <w:r w:rsidRPr="00D20A89">
              <w:rPr>
                <w:bCs/>
                <w:sz w:val="22"/>
                <w:lang w:val="en-ID"/>
              </w:rPr>
              <w:t>6,6</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D5CBCE5" w14:textId="77777777" w:rsidR="00D20A89" w:rsidRPr="00D20A89" w:rsidRDefault="00D20A89" w:rsidP="00D20A89">
            <w:pPr>
              <w:spacing w:line="240" w:lineRule="auto"/>
              <w:jc w:val="center"/>
              <w:rPr>
                <w:bCs/>
                <w:sz w:val="22"/>
                <w:lang w:val="en-ID"/>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9C772D6" w14:textId="77777777" w:rsidR="00D20A89" w:rsidRPr="00D20A89" w:rsidRDefault="00D20A89" w:rsidP="00D20A89">
            <w:pPr>
              <w:spacing w:line="240" w:lineRule="auto"/>
              <w:jc w:val="center"/>
              <w:rPr>
                <w:sz w:val="22"/>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38D46D2"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DE2C047" w14:textId="77777777" w:rsidR="00D20A89" w:rsidRPr="00D20A89" w:rsidRDefault="00D20A89" w:rsidP="00D20A89">
            <w:pPr>
              <w:spacing w:line="240" w:lineRule="auto"/>
              <w:jc w:val="center"/>
              <w:rPr>
                <w:sz w:val="22"/>
              </w:rPr>
            </w:pP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EF74367" w14:textId="77777777" w:rsidR="00D20A89" w:rsidRPr="00D20A89" w:rsidRDefault="00D20A89" w:rsidP="00D20A89">
            <w:pPr>
              <w:spacing w:line="240" w:lineRule="auto"/>
              <w:jc w:val="center"/>
              <w:rPr>
                <w:bCs/>
                <w:sz w:val="22"/>
                <w:lang w:val="en-ID"/>
              </w:rPr>
            </w:pPr>
            <w:r w:rsidRPr="00D20A89">
              <w:rPr>
                <w:bCs/>
                <w:sz w:val="22"/>
                <w:lang w:val="en-AU"/>
              </w:rPr>
              <w:t>7,7</w:t>
            </w:r>
          </w:p>
        </w:tc>
      </w:tr>
      <w:tr w:rsidR="00D20A89" w:rsidRPr="00D20A89" w14:paraId="13EB4242" w14:textId="77777777" w:rsidTr="00D20A89">
        <w:trPr>
          <w:trHeight w:val="300"/>
          <w:jc w:val="center"/>
        </w:trPr>
        <w:tc>
          <w:tcPr>
            <w:tcW w:w="183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F8064A7" w14:textId="77777777" w:rsidR="00D20A89" w:rsidRPr="00D20A89" w:rsidRDefault="00D20A89" w:rsidP="00D20A89">
            <w:pPr>
              <w:spacing w:line="240" w:lineRule="auto"/>
              <w:jc w:val="both"/>
              <w:rPr>
                <w:bCs/>
                <w:sz w:val="22"/>
                <w:lang w:val="en-ID"/>
              </w:rPr>
            </w:pPr>
            <w:r w:rsidRPr="00D20A89">
              <w:rPr>
                <w:bCs/>
                <w:sz w:val="22"/>
                <w:lang w:val="en-AU"/>
              </w:rPr>
              <w:t>Kualitas Produk Tidak Memenuhi Kualifikasi</w:t>
            </w:r>
          </w:p>
        </w:tc>
        <w:tc>
          <w:tcPr>
            <w:tcW w:w="10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BA21F61" w14:textId="77777777" w:rsidR="00D20A89" w:rsidRPr="00D20A89" w:rsidRDefault="00D20A89" w:rsidP="00D20A89">
            <w:pPr>
              <w:spacing w:line="240" w:lineRule="auto"/>
              <w:jc w:val="center"/>
              <w:rPr>
                <w:bCs/>
                <w:sz w:val="22"/>
                <w:lang w:val="en-ID"/>
              </w:rPr>
            </w:pPr>
            <w:r w:rsidRPr="00D20A89">
              <w:rPr>
                <w:bCs/>
                <w:sz w:val="22"/>
                <w:lang w:val="en-AU"/>
              </w:rPr>
              <w:t>E9</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59A955F" w14:textId="77777777" w:rsidR="00D20A89" w:rsidRPr="00D20A89" w:rsidRDefault="00D20A89" w:rsidP="00D20A89">
            <w:pPr>
              <w:spacing w:line="240" w:lineRule="auto"/>
              <w:jc w:val="center"/>
              <w:rPr>
                <w:bCs/>
                <w:sz w:val="22"/>
                <w:lang w:val="en-ID"/>
              </w:rPr>
            </w:pP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6611BC8"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67378F5" w14:textId="77777777" w:rsidR="00D20A89" w:rsidRPr="00D20A89" w:rsidRDefault="00D20A89" w:rsidP="00D20A89">
            <w:pPr>
              <w:spacing w:line="240" w:lineRule="auto"/>
              <w:jc w:val="center"/>
              <w:rPr>
                <w:bCs/>
                <w:sz w:val="22"/>
                <w:lang w:val="en-ID"/>
              </w:rPr>
            </w:pPr>
            <w:r w:rsidRPr="00D20A89">
              <w:rPr>
                <w:bCs/>
                <w:sz w:val="22"/>
                <w:lang w:val="en-ID"/>
              </w:rPr>
              <w:t>7,4</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6F43CC7" w14:textId="77777777" w:rsidR="00D20A89" w:rsidRPr="00D20A89" w:rsidRDefault="00D20A89" w:rsidP="00D20A89">
            <w:pPr>
              <w:spacing w:line="240" w:lineRule="auto"/>
              <w:jc w:val="center"/>
              <w:rPr>
                <w:bCs/>
                <w:sz w:val="22"/>
                <w:lang w:val="en-ID"/>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2CC55BE" w14:textId="77777777" w:rsidR="00D20A89" w:rsidRPr="00D20A89" w:rsidRDefault="00D20A89" w:rsidP="00D20A89">
            <w:pPr>
              <w:spacing w:line="240" w:lineRule="auto"/>
              <w:jc w:val="center"/>
              <w:rPr>
                <w:sz w:val="22"/>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4021D62"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02E1DC3" w14:textId="77777777" w:rsidR="00D20A89" w:rsidRPr="00D20A89" w:rsidRDefault="00D20A89" w:rsidP="00D20A89">
            <w:pPr>
              <w:spacing w:line="240" w:lineRule="auto"/>
              <w:jc w:val="center"/>
              <w:rPr>
                <w:bCs/>
                <w:sz w:val="22"/>
                <w:lang w:val="en-ID"/>
              </w:rPr>
            </w:pPr>
            <w:r w:rsidRPr="00D20A89">
              <w:rPr>
                <w:bCs/>
                <w:sz w:val="22"/>
                <w:lang w:val="en-ID"/>
              </w:rPr>
              <w:t>8,4</w:t>
            </w: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4386E45" w14:textId="77777777" w:rsidR="00D20A89" w:rsidRPr="00D20A89" w:rsidRDefault="00D20A89" w:rsidP="00D20A89">
            <w:pPr>
              <w:spacing w:line="240" w:lineRule="auto"/>
              <w:jc w:val="center"/>
              <w:rPr>
                <w:bCs/>
                <w:sz w:val="22"/>
                <w:lang w:val="en-ID"/>
              </w:rPr>
            </w:pPr>
            <w:r w:rsidRPr="00D20A89">
              <w:rPr>
                <w:bCs/>
                <w:sz w:val="22"/>
                <w:lang w:val="en-AU"/>
              </w:rPr>
              <w:t>9</w:t>
            </w:r>
          </w:p>
        </w:tc>
      </w:tr>
      <w:tr w:rsidR="00D20A89" w:rsidRPr="00D20A89" w14:paraId="07245BB0" w14:textId="77777777" w:rsidTr="00D20A89">
        <w:trPr>
          <w:trHeight w:val="390"/>
          <w:jc w:val="center"/>
        </w:trPr>
        <w:tc>
          <w:tcPr>
            <w:tcW w:w="183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35994C0" w14:textId="77777777" w:rsidR="00D20A89" w:rsidRPr="00D20A89" w:rsidRDefault="00D20A89" w:rsidP="00D20A89">
            <w:pPr>
              <w:spacing w:line="240" w:lineRule="auto"/>
              <w:jc w:val="both"/>
              <w:rPr>
                <w:bCs/>
                <w:sz w:val="22"/>
                <w:lang w:val="en-ID"/>
              </w:rPr>
            </w:pPr>
            <w:r w:rsidRPr="00D20A89">
              <w:rPr>
                <w:bCs/>
                <w:sz w:val="22"/>
                <w:lang w:val="en-AU"/>
              </w:rPr>
              <w:t>Keterlambatan Proses Distribusi</w:t>
            </w:r>
          </w:p>
        </w:tc>
        <w:tc>
          <w:tcPr>
            <w:tcW w:w="100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EAC5B1F" w14:textId="77777777" w:rsidR="00D20A89" w:rsidRPr="00D20A89" w:rsidRDefault="00D20A89" w:rsidP="00D20A89">
            <w:pPr>
              <w:spacing w:line="240" w:lineRule="auto"/>
              <w:jc w:val="center"/>
              <w:rPr>
                <w:bCs/>
                <w:sz w:val="22"/>
                <w:lang w:val="en-ID"/>
              </w:rPr>
            </w:pPr>
            <w:r w:rsidRPr="00D20A89">
              <w:rPr>
                <w:bCs/>
                <w:sz w:val="22"/>
                <w:lang w:val="en-AU"/>
              </w:rPr>
              <w:t>E10</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5309825" w14:textId="77777777" w:rsidR="00D20A89" w:rsidRPr="00D20A89" w:rsidRDefault="00D20A89" w:rsidP="00D20A89">
            <w:pPr>
              <w:spacing w:line="240" w:lineRule="auto"/>
              <w:jc w:val="center"/>
              <w:rPr>
                <w:bCs/>
                <w:sz w:val="22"/>
                <w:lang w:val="en-ID"/>
              </w:rPr>
            </w:pP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4497BCB"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21EBEA4" w14:textId="77777777" w:rsidR="00D20A89" w:rsidRPr="00D20A89" w:rsidRDefault="00D20A89" w:rsidP="00D20A89">
            <w:pPr>
              <w:spacing w:line="240" w:lineRule="auto"/>
              <w:jc w:val="center"/>
              <w:rPr>
                <w:bCs/>
                <w:sz w:val="22"/>
                <w:lang w:val="en-ID"/>
              </w:rPr>
            </w:pPr>
            <w:r w:rsidRPr="00D20A89">
              <w:rPr>
                <w:bCs/>
                <w:sz w:val="22"/>
                <w:lang w:val="en-ID"/>
              </w:rPr>
              <w:t>8,6</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0844D47" w14:textId="77777777" w:rsidR="00D20A89" w:rsidRPr="00D20A89" w:rsidRDefault="00D20A89" w:rsidP="00D20A89">
            <w:pPr>
              <w:spacing w:line="240" w:lineRule="auto"/>
              <w:jc w:val="center"/>
              <w:rPr>
                <w:bCs/>
                <w:sz w:val="22"/>
                <w:lang w:val="en-ID"/>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E95835F" w14:textId="77777777" w:rsidR="00D20A89" w:rsidRPr="00D20A89" w:rsidRDefault="00D20A89" w:rsidP="00D20A89">
            <w:pPr>
              <w:spacing w:line="240" w:lineRule="auto"/>
              <w:jc w:val="center"/>
              <w:rPr>
                <w:sz w:val="22"/>
              </w:rPr>
            </w:pP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8DDA08A" w14:textId="77777777" w:rsidR="00D20A89" w:rsidRPr="00D20A89" w:rsidRDefault="00D20A89" w:rsidP="00D20A89">
            <w:pPr>
              <w:spacing w:line="240" w:lineRule="auto"/>
              <w:jc w:val="center"/>
              <w:rPr>
                <w:sz w:val="22"/>
              </w:rPr>
            </w:pP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9649D7C" w14:textId="77777777" w:rsidR="00D20A89" w:rsidRPr="00D20A89" w:rsidRDefault="00D20A89" w:rsidP="00D20A89">
            <w:pPr>
              <w:spacing w:line="240" w:lineRule="auto"/>
              <w:jc w:val="center"/>
              <w:rPr>
                <w:bCs/>
                <w:sz w:val="22"/>
                <w:lang w:val="en-ID"/>
              </w:rPr>
            </w:pPr>
            <w:r w:rsidRPr="00D20A89">
              <w:rPr>
                <w:bCs/>
                <w:sz w:val="22"/>
                <w:lang w:val="en-ID"/>
              </w:rPr>
              <w:t>8,4</w:t>
            </w:r>
          </w:p>
        </w:tc>
        <w:tc>
          <w:tcPr>
            <w:tcW w:w="9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3FA5F3D" w14:textId="77777777" w:rsidR="00D20A89" w:rsidRPr="00D20A89" w:rsidRDefault="00D20A89" w:rsidP="00D20A89">
            <w:pPr>
              <w:spacing w:line="240" w:lineRule="auto"/>
              <w:jc w:val="center"/>
              <w:rPr>
                <w:bCs/>
                <w:sz w:val="22"/>
                <w:lang w:val="en-ID"/>
              </w:rPr>
            </w:pPr>
            <w:r w:rsidRPr="00D20A89">
              <w:rPr>
                <w:bCs/>
                <w:sz w:val="22"/>
                <w:lang w:val="en-AU"/>
              </w:rPr>
              <w:t>7,4</w:t>
            </w:r>
          </w:p>
        </w:tc>
      </w:tr>
      <w:tr w:rsidR="00D20A89" w:rsidRPr="00D20A89" w14:paraId="472C0EC7" w14:textId="77777777" w:rsidTr="00D20A89">
        <w:trPr>
          <w:trHeight w:val="300"/>
          <w:jc w:val="center"/>
        </w:trPr>
        <w:tc>
          <w:tcPr>
            <w:tcW w:w="2843" w:type="dxa"/>
            <w:gridSpan w:val="2"/>
            <w:tcBorders>
              <w:top w:val="single" w:sz="4" w:space="0" w:color="auto"/>
              <w:left w:val="single" w:sz="4" w:space="0" w:color="auto"/>
              <w:bottom w:val="single" w:sz="4" w:space="0" w:color="auto"/>
              <w:right w:val="nil"/>
            </w:tcBorders>
            <w:noWrap/>
            <w:tcMar>
              <w:top w:w="15" w:type="dxa"/>
              <w:left w:w="108" w:type="dxa"/>
              <w:bottom w:w="15" w:type="dxa"/>
              <w:right w:w="108" w:type="dxa"/>
            </w:tcMar>
            <w:vAlign w:val="center"/>
            <w:hideMark/>
          </w:tcPr>
          <w:p w14:paraId="18DE2F14" w14:textId="77777777" w:rsidR="00D20A89" w:rsidRPr="00D20A89" w:rsidRDefault="00D20A89" w:rsidP="00D20A89">
            <w:pPr>
              <w:spacing w:line="240" w:lineRule="auto"/>
              <w:jc w:val="both"/>
              <w:rPr>
                <w:b/>
                <w:bCs/>
                <w:sz w:val="22"/>
                <w:lang w:val="en-ID"/>
              </w:rPr>
            </w:pPr>
            <w:r w:rsidRPr="00D20A89">
              <w:rPr>
                <w:b/>
                <w:bCs/>
                <w:sz w:val="22"/>
                <w:lang w:val="en-ID"/>
              </w:rPr>
              <w:t>Occurrence</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EC0D853" w14:textId="77777777" w:rsidR="00D20A89" w:rsidRPr="00D20A89" w:rsidRDefault="00D20A89" w:rsidP="00D20A89">
            <w:pPr>
              <w:spacing w:line="240" w:lineRule="auto"/>
              <w:jc w:val="center"/>
              <w:rPr>
                <w:bCs/>
                <w:sz w:val="22"/>
                <w:lang w:val="en-ID"/>
              </w:rPr>
            </w:pPr>
            <w:r w:rsidRPr="00D20A89">
              <w:rPr>
                <w:bCs/>
                <w:sz w:val="22"/>
                <w:lang w:val="en-ID"/>
              </w:rPr>
              <w:t>6,3</w:t>
            </w: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737BB9F" w14:textId="77777777" w:rsidR="00D20A89" w:rsidRPr="00D20A89" w:rsidRDefault="00D20A89" w:rsidP="00D20A89">
            <w:pPr>
              <w:spacing w:line="240" w:lineRule="auto"/>
              <w:jc w:val="center"/>
              <w:rPr>
                <w:bCs/>
                <w:sz w:val="22"/>
                <w:lang w:val="en-ID"/>
              </w:rPr>
            </w:pPr>
            <w:r w:rsidRPr="00D20A89">
              <w:rPr>
                <w:bCs/>
                <w:sz w:val="22"/>
                <w:lang w:val="en-ID"/>
              </w:rPr>
              <w:t>6,0</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025A9F0" w14:textId="77777777" w:rsidR="00D20A89" w:rsidRPr="00D20A89" w:rsidRDefault="00D20A89" w:rsidP="00D20A89">
            <w:pPr>
              <w:spacing w:line="240" w:lineRule="auto"/>
              <w:jc w:val="center"/>
              <w:rPr>
                <w:bCs/>
                <w:sz w:val="22"/>
                <w:lang w:val="en-ID"/>
              </w:rPr>
            </w:pPr>
            <w:r w:rsidRPr="00D20A89">
              <w:rPr>
                <w:bCs/>
                <w:sz w:val="22"/>
                <w:lang w:val="en-ID"/>
              </w:rPr>
              <w:t>7,7</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FF53A99" w14:textId="77777777" w:rsidR="00D20A89" w:rsidRPr="00D20A89" w:rsidRDefault="00D20A89" w:rsidP="00D20A89">
            <w:pPr>
              <w:spacing w:line="240" w:lineRule="auto"/>
              <w:jc w:val="center"/>
              <w:rPr>
                <w:bCs/>
                <w:sz w:val="22"/>
                <w:lang w:val="en-ID"/>
              </w:rPr>
            </w:pPr>
            <w:r w:rsidRPr="00D20A89">
              <w:rPr>
                <w:bCs/>
                <w:sz w:val="22"/>
                <w:lang w:val="en-ID"/>
              </w:rPr>
              <w:t>6,7</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DD5D454" w14:textId="77777777" w:rsidR="00D20A89" w:rsidRPr="00D20A89" w:rsidRDefault="00D20A89" w:rsidP="00D20A89">
            <w:pPr>
              <w:spacing w:line="240" w:lineRule="auto"/>
              <w:jc w:val="center"/>
              <w:rPr>
                <w:bCs/>
                <w:sz w:val="22"/>
                <w:lang w:val="en-ID"/>
              </w:rPr>
            </w:pPr>
            <w:r w:rsidRPr="00D20A89">
              <w:rPr>
                <w:bCs/>
                <w:sz w:val="22"/>
                <w:lang w:val="en-ID"/>
              </w:rPr>
              <w:t>7,5</w:t>
            </w: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F3F5EB4" w14:textId="77777777" w:rsidR="00D20A89" w:rsidRPr="00D20A89" w:rsidRDefault="00D20A89" w:rsidP="00D20A89">
            <w:pPr>
              <w:spacing w:line="240" w:lineRule="auto"/>
              <w:jc w:val="center"/>
              <w:rPr>
                <w:bCs/>
                <w:sz w:val="22"/>
                <w:lang w:val="en-ID"/>
              </w:rPr>
            </w:pPr>
            <w:r w:rsidRPr="00D20A89">
              <w:rPr>
                <w:bCs/>
                <w:sz w:val="22"/>
                <w:lang w:val="en-ID"/>
              </w:rPr>
              <w:t>6,5</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D20DE1B" w14:textId="77777777" w:rsidR="00D20A89" w:rsidRPr="00D20A89" w:rsidRDefault="00D20A89" w:rsidP="00D20A89">
            <w:pPr>
              <w:spacing w:line="240" w:lineRule="auto"/>
              <w:jc w:val="center"/>
              <w:rPr>
                <w:bCs/>
                <w:sz w:val="22"/>
                <w:lang w:val="en-ID"/>
              </w:rPr>
            </w:pPr>
            <w:r w:rsidRPr="00D20A89">
              <w:rPr>
                <w:bCs/>
                <w:sz w:val="22"/>
                <w:lang w:val="en-ID"/>
              </w:rPr>
              <w:t>7,2</w:t>
            </w:r>
          </w:p>
        </w:tc>
        <w:tc>
          <w:tcPr>
            <w:tcW w:w="916" w:type="dxa"/>
            <w:noWrap/>
            <w:tcMar>
              <w:top w:w="15" w:type="dxa"/>
              <w:left w:w="108" w:type="dxa"/>
              <w:bottom w:w="15" w:type="dxa"/>
              <w:right w:w="108" w:type="dxa"/>
            </w:tcMar>
            <w:vAlign w:val="bottom"/>
            <w:hideMark/>
          </w:tcPr>
          <w:p w14:paraId="60F58CEB" w14:textId="77777777" w:rsidR="00D20A89" w:rsidRPr="00D20A89" w:rsidRDefault="00D20A89" w:rsidP="00D20A89">
            <w:pPr>
              <w:spacing w:line="240" w:lineRule="auto"/>
              <w:jc w:val="both"/>
              <w:rPr>
                <w:bCs/>
                <w:sz w:val="22"/>
                <w:lang w:val="en-ID"/>
              </w:rPr>
            </w:pPr>
          </w:p>
        </w:tc>
      </w:tr>
      <w:tr w:rsidR="00D20A89" w:rsidRPr="00D20A89" w14:paraId="1B4DB865" w14:textId="77777777" w:rsidTr="00D20A89">
        <w:trPr>
          <w:trHeight w:val="300"/>
          <w:jc w:val="center"/>
        </w:trPr>
        <w:tc>
          <w:tcPr>
            <w:tcW w:w="2843" w:type="dxa"/>
            <w:gridSpan w:val="2"/>
            <w:tcBorders>
              <w:top w:val="single" w:sz="4" w:space="0" w:color="auto"/>
              <w:left w:val="single" w:sz="4" w:space="0" w:color="auto"/>
              <w:bottom w:val="single" w:sz="4" w:space="0" w:color="auto"/>
              <w:right w:val="nil"/>
            </w:tcBorders>
            <w:noWrap/>
            <w:tcMar>
              <w:top w:w="15" w:type="dxa"/>
              <w:left w:w="108" w:type="dxa"/>
              <w:bottom w:w="15" w:type="dxa"/>
              <w:right w:w="108" w:type="dxa"/>
            </w:tcMar>
            <w:vAlign w:val="center"/>
            <w:hideMark/>
          </w:tcPr>
          <w:p w14:paraId="003FC85B" w14:textId="77777777" w:rsidR="00D20A89" w:rsidRPr="00D20A89" w:rsidRDefault="00D20A89" w:rsidP="00D20A89">
            <w:pPr>
              <w:spacing w:line="240" w:lineRule="auto"/>
              <w:jc w:val="both"/>
              <w:rPr>
                <w:b/>
                <w:bCs/>
                <w:sz w:val="22"/>
                <w:lang w:val="en-ID"/>
              </w:rPr>
            </w:pPr>
            <w:r w:rsidRPr="00D20A89">
              <w:rPr>
                <w:b/>
                <w:bCs/>
                <w:sz w:val="22"/>
                <w:lang w:val="en-ID"/>
              </w:rPr>
              <w:t>Aggregate Risk Potential</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9F5F94B" w14:textId="77777777" w:rsidR="00D20A89" w:rsidRPr="00D20A89" w:rsidRDefault="00D20A89" w:rsidP="00D20A89">
            <w:pPr>
              <w:spacing w:line="240" w:lineRule="auto"/>
              <w:jc w:val="center"/>
              <w:rPr>
                <w:bCs/>
                <w:sz w:val="22"/>
                <w:lang w:val="en-ID"/>
              </w:rPr>
            </w:pPr>
            <w:r w:rsidRPr="00D20A89">
              <w:rPr>
                <w:bCs/>
                <w:sz w:val="22"/>
                <w:lang w:val="en-ID"/>
              </w:rPr>
              <w:t>54</w:t>
            </w: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C69687F" w14:textId="77777777" w:rsidR="00D20A89" w:rsidRPr="00D20A89" w:rsidRDefault="00D20A89" w:rsidP="00D20A89">
            <w:pPr>
              <w:spacing w:line="240" w:lineRule="auto"/>
              <w:jc w:val="center"/>
              <w:rPr>
                <w:bCs/>
                <w:sz w:val="22"/>
                <w:lang w:val="en-ID"/>
              </w:rPr>
            </w:pPr>
            <w:r w:rsidRPr="00D20A89">
              <w:rPr>
                <w:bCs/>
                <w:sz w:val="22"/>
                <w:lang w:val="en-ID"/>
              </w:rPr>
              <w:t>56</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2DAA57B" w14:textId="77777777" w:rsidR="00D20A89" w:rsidRPr="00D20A89" w:rsidRDefault="00D20A89" w:rsidP="00D20A89">
            <w:pPr>
              <w:spacing w:line="240" w:lineRule="auto"/>
              <w:jc w:val="center"/>
              <w:rPr>
                <w:bCs/>
                <w:sz w:val="22"/>
                <w:lang w:val="en-ID"/>
              </w:rPr>
            </w:pPr>
            <w:r w:rsidRPr="00D20A89">
              <w:rPr>
                <w:bCs/>
                <w:sz w:val="22"/>
                <w:lang w:val="en-ID"/>
              </w:rPr>
              <w:t>423</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90B3541" w14:textId="77777777" w:rsidR="00D20A89" w:rsidRPr="00D20A89" w:rsidRDefault="00D20A89" w:rsidP="00D20A89">
            <w:pPr>
              <w:spacing w:line="240" w:lineRule="auto"/>
              <w:jc w:val="center"/>
              <w:rPr>
                <w:bCs/>
                <w:sz w:val="22"/>
                <w:lang w:val="en-ID"/>
              </w:rPr>
            </w:pPr>
            <w:r w:rsidRPr="00D20A89">
              <w:rPr>
                <w:bCs/>
                <w:sz w:val="22"/>
                <w:lang w:val="en-ID"/>
              </w:rPr>
              <w:t>32</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E06C2B9" w14:textId="77777777" w:rsidR="00D20A89" w:rsidRPr="00D20A89" w:rsidRDefault="00D20A89" w:rsidP="00D20A89">
            <w:pPr>
              <w:spacing w:line="240" w:lineRule="auto"/>
              <w:jc w:val="center"/>
              <w:rPr>
                <w:bCs/>
                <w:sz w:val="22"/>
                <w:lang w:val="en-ID"/>
              </w:rPr>
            </w:pPr>
            <w:r w:rsidRPr="00D20A89">
              <w:rPr>
                <w:bCs/>
                <w:sz w:val="22"/>
                <w:lang w:val="en-ID"/>
              </w:rPr>
              <w:t>116</w:t>
            </w: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4691151" w14:textId="77777777" w:rsidR="00D20A89" w:rsidRPr="00D20A89" w:rsidRDefault="00D20A89" w:rsidP="00D20A89">
            <w:pPr>
              <w:spacing w:line="240" w:lineRule="auto"/>
              <w:jc w:val="center"/>
              <w:rPr>
                <w:bCs/>
                <w:sz w:val="22"/>
                <w:lang w:val="en-ID"/>
              </w:rPr>
            </w:pPr>
            <w:r w:rsidRPr="00D20A89">
              <w:rPr>
                <w:bCs/>
                <w:sz w:val="22"/>
                <w:lang w:val="en-ID"/>
              </w:rPr>
              <w:t>51</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DCA2FA8" w14:textId="77777777" w:rsidR="00D20A89" w:rsidRPr="00D20A89" w:rsidRDefault="00D20A89" w:rsidP="00D20A89">
            <w:pPr>
              <w:spacing w:line="240" w:lineRule="auto"/>
              <w:jc w:val="center"/>
              <w:rPr>
                <w:bCs/>
                <w:sz w:val="22"/>
                <w:lang w:val="en-ID"/>
              </w:rPr>
            </w:pPr>
            <w:r w:rsidRPr="00D20A89">
              <w:rPr>
                <w:bCs/>
                <w:sz w:val="22"/>
                <w:lang w:val="en-ID"/>
              </w:rPr>
              <w:t>267</w:t>
            </w:r>
          </w:p>
        </w:tc>
        <w:tc>
          <w:tcPr>
            <w:tcW w:w="916" w:type="dxa"/>
            <w:noWrap/>
            <w:tcMar>
              <w:top w:w="15" w:type="dxa"/>
              <w:left w:w="108" w:type="dxa"/>
              <w:bottom w:w="15" w:type="dxa"/>
              <w:right w:w="108" w:type="dxa"/>
            </w:tcMar>
            <w:vAlign w:val="bottom"/>
            <w:hideMark/>
          </w:tcPr>
          <w:p w14:paraId="30933B11" w14:textId="77777777" w:rsidR="00D20A89" w:rsidRPr="00D20A89" w:rsidRDefault="00D20A89" w:rsidP="00D20A89">
            <w:pPr>
              <w:spacing w:line="240" w:lineRule="auto"/>
              <w:jc w:val="both"/>
              <w:rPr>
                <w:bCs/>
                <w:sz w:val="22"/>
                <w:lang w:val="en-ID"/>
              </w:rPr>
            </w:pPr>
          </w:p>
        </w:tc>
      </w:tr>
      <w:tr w:rsidR="00D20A89" w:rsidRPr="00D20A89" w14:paraId="4883A521" w14:textId="77777777" w:rsidTr="00D20A89">
        <w:trPr>
          <w:trHeight w:val="300"/>
          <w:jc w:val="center"/>
        </w:trPr>
        <w:tc>
          <w:tcPr>
            <w:tcW w:w="2843" w:type="dxa"/>
            <w:gridSpan w:val="2"/>
            <w:tcBorders>
              <w:top w:val="single" w:sz="4" w:space="0" w:color="auto"/>
              <w:left w:val="single" w:sz="4" w:space="0" w:color="auto"/>
              <w:bottom w:val="single" w:sz="4" w:space="0" w:color="auto"/>
              <w:right w:val="nil"/>
            </w:tcBorders>
            <w:noWrap/>
            <w:tcMar>
              <w:top w:w="15" w:type="dxa"/>
              <w:left w:w="108" w:type="dxa"/>
              <w:bottom w:w="15" w:type="dxa"/>
              <w:right w:w="108" w:type="dxa"/>
            </w:tcMar>
            <w:vAlign w:val="center"/>
            <w:hideMark/>
          </w:tcPr>
          <w:p w14:paraId="0FA7BD88" w14:textId="77777777" w:rsidR="00D20A89" w:rsidRPr="00D20A89" w:rsidRDefault="00D20A89" w:rsidP="00D20A89">
            <w:pPr>
              <w:spacing w:line="240" w:lineRule="auto"/>
              <w:jc w:val="both"/>
              <w:rPr>
                <w:b/>
                <w:bCs/>
                <w:sz w:val="22"/>
                <w:lang w:val="en-ID"/>
              </w:rPr>
            </w:pPr>
            <w:r w:rsidRPr="00D20A89">
              <w:rPr>
                <w:b/>
                <w:bCs/>
                <w:sz w:val="22"/>
                <w:lang w:val="en-ID"/>
              </w:rPr>
              <w:t>Priority Rank</w:t>
            </w:r>
          </w:p>
        </w:tc>
        <w:tc>
          <w:tcPr>
            <w:tcW w:w="68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11EBEC8" w14:textId="77777777" w:rsidR="00D20A89" w:rsidRPr="00D20A89" w:rsidRDefault="00D20A89" w:rsidP="00D20A89">
            <w:pPr>
              <w:spacing w:line="240" w:lineRule="auto"/>
              <w:jc w:val="center"/>
              <w:rPr>
                <w:bCs/>
                <w:sz w:val="22"/>
                <w:lang w:val="en-ID"/>
              </w:rPr>
            </w:pPr>
            <w:r w:rsidRPr="00D20A89">
              <w:rPr>
                <w:bCs/>
                <w:sz w:val="22"/>
                <w:lang w:val="en-ID"/>
              </w:rPr>
              <w:t>5</w:t>
            </w:r>
          </w:p>
        </w:tc>
        <w:tc>
          <w:tcPr>
            <w:tcW w:w="51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389D73A" w14:textId="77777777" w:rsidR="00D20A89" w:rsidRPr="00D20A89" w:rsidRDefault="00D20A89" w:rsidP="00D20A89">
            <w:pPr>
              <w:spacing w:line="240" w:lineRule="auto"/>
              <w:jc w:val="center"/>
              <w:rPr>
                <w:bCs/>
                <w:sz w:val="22"/>
                <w:lang w:val="en-ID"/>
              </w:rPr>
            </w:pPr>
            <w:r w:rsidRPr="00D20A89">
              <w:rPr>
                <w:bCs/>
                <w:sz w:val="22"/>
                <w:lang w:val="en-ID"/>
              </w:rPr>
              <w:t>4</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A127401" w14:textId="77777777" w:rsidR="00D20A89" w:rsidRPr="00D20A89" w:rsidRDefault="00D20A89" w:rsidP="00D20A89">
            <w:pPr>
              <w:spacing w:line="240" w:lineRule="auto"/>
              <w:jc w:val="center"/>
              <w:rPr>
                <w:bCs/>
                <w:sz w:val="22"/>
                <w:lang w:val="en-ID"/>
              </w:rPr>
            </w:pPr>
            <w:r w:rsidRPr="00D20A89">
              <w:rPr>
                <w:bCs/>
                <w:sz w:val="22"/>
                <w:lang w:val="en-ID"/>
              </w:rPr>
              <w:t>1</w:t>
            </w:r>
          </w:p>
        </w:tc>
        <w:tc>
          <w:tcPr>
            <w:tcW w:w="57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0F94373" w14:textId="77777777" w:rsidR="00D20A89" w:rsidRPr="00D20A89" w:rsidRDefault="00D20A89" w:rsidP="00D20A89">
            <w:pPr>
              <w:spacing w:line="240" w:lineRule="auto"/>
              <w:jc w:val="center"/>
              <w:rPr>
                <w:bCs/>
                <w:sz w:val="22"/>
                <w:lang w:val="en-ID"/>
              </w:rPr>
            </w:pPr>
            <w:r w:rsidRPr="00D20A89">
              <w:rPr>
                <w:bCs/>
                <w:sz w:val="22"/>
                <w:lang w:val="en-ID"/>
              </w:rPr>
              <w:t>7</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59D5AA2" w14:textId="77777777" w:rsidR="00D20A89" w:rsidRPr="00D20A89" w:rsidRDefault="00D20A89" w:rsidP="00D20A89">
            <w:pPr>
              <w:spacing w:line="240" w:lineRule="auto"/>
              <w:jc w:val="center"/>
              <w:rPr>
                <w:bCs/>
                <w:sz w:val="22"/>
                <w:lang w:val="en-ID"/>
              </w:rPr>
            </w:pPr>
            <w:r w:rsidRPr="00D20A89">
              <w:rPr>
                <w:bCs/>
                <w:sz w:val="22"/>
                <w:lang w:val="en-ID"/>
              </w:rPr>
              <w:t>3</w:t>
            </w:r>
          </w:p>
        </w:tc>
        <w:tc>
          <w:tcPr>
            <w:tcW w:w="567"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0AADA1C" w14:textId="77777777" w:rsidR="00D20A89" w:rsidRPr="00D20A89" w:rsidRDefault="00D20A89" w:rsidP="00D20A89">
            <w:pPr>
              <w:spacing w:line="240" w:lineRule="auto"/>
              <w:jc w:val="center"/>
              <w:rPr>
                <w:bCs/>
                <w:sz w:val="22"/>
                <w:lang w:val="en-ID"/>
              </w:rPr>
            </w:pPr>
            <w:r w:rsidRPr="00D20A89">
              <w:rPr>
                <w:bCs/>
                <w:sz w:val="22"/>
                <w:lang w:val="en-ID"/>
              </w:rPr>
              <w:t>6</w:t>
            </w:r>
          </w:p>
        </w:tc>
        <w:tc>
          <w:tcPr>
            <w:tcW w:w="576"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57E352B" w14:textId="77777777" w:rsidR="00D20A89" w:rsidRPr="00D20A89" w:rsidRDefault="00D20A89" w:rsidP="00D20A89">
            <w:pPr>
              <w:spacing w:line="240" w:lineRule="auto"/>
              <w:jc w:val="center"/>
              <w:rPr>
                <w:bCs/>
                <w:sz w:val="22"/>
                <w:lang w:val="en-ID"/>
              </w:rPr>
            </w:pPr>
            <w:r w:rsidRPr="00D20A89">
              <w:rPr>
                <w:bCs/>
                <w:sz w:val="22"/>
                <w:lang w:val="en-ID"/>
              </w:rPr>
              <w:t>2</w:t>
            </w:r>
          </w:p>
        </w:tc>
        <w:tc>
          <w:tcPr>
            <w:tcW w:w="916" w:type="dxa"/>
            <w:noWrap/>
            <w:tcMar>
              <w:top w:w="15" w:type="dxa"/>
              <w:left w:w="108" w:type="dxa"/>
              <w:bottom w:w="15" w:type="dxa"/>
              <w:right w:w="108" w:type="dxa"/>
            </w:tcMar>
            <w:vAlign w:val="bottom"/>
            <w:hideMark/>
          </w:tcPr>
          <w:p w14:paraId="05CA9A07" w14:textId="77777777" w:rsidR="00D20A89" w:rsidRPr="00D20A89" w:rsidRDefault="00D20A89" w:rsidP="00D20A89">
            <w:pPr>
              <w:spacing w:line="240" w:lineRule="auto"/>
              <w:jc w:val="both"/>
              <w:rPr>
                <w:bCs/>
                <w:sz w:val="22"/>
                <w:lang w:val="en-ID"/>
              </w:rPr>
            </w:pPr>
          </w:p>
        </w:tc>
      </w:tr>
    </w:tbl>
    <w:p w14:paraId="475CD166" w14:textId="77777777" w:rsidR="00D20A89" w:rsidRDefault="00D20A89" w:rsidP="00D20A89">
      <w:pPr>
        <w:spacing w:line="240" w:lineRule="auto"/>
        <w:jc w:val="both"/>
        <w:rPr>
          <w:b/>
          <w:bCs/>
          <w:sz w:val="22"/>
          <w:lang w:val="en-ID"/>
        </w:rPr>
        <w:sectPr w:rsidR="00D20A89" w:rsidSect="00D20A89">
          <w:type w:val="continuous"/>
          <w:pgSz w:w="11907" w:h="16840" w:code="9"/>
          <w:pgMar w:top="1440" w:right="1440" w:bottom="1440" w:left="1440" w:header="720" w:footer="720" w:gutter="0"/>
          <w:cols w:space="708"/>
          <w:docGrid w:linePitch="360"/>
        </w:sectPr>
      </w:pPr>
    </w:p>
    <w:p w14:paraId="7D62D1BB" w14:textId="375B5F1E" w:rsidR="00D20A89" w:rsidRPr="00D20A89" w:rsidRDefault="00D20A89" w:rsidP="00D20A89">
      <w:pPr>
        <w:spacing w:line="240" w:lineRule="auto"/>
        <w:jc w:val="both"/>
        <w:rPr>
          <w:b/>
          <w:bCs/>
          <w:sz w:val="22"/>
          <w:lang w:val="en-ID"/>
        </w:rPr>
      </w:pPr>
    </w:p>
    <w:p w14:paraId="76C53444" w14:textId="77777777" w:rsidR="005415B3" w:rsidRDefault="005415B3" w:rsidP="005415B3">
      <w:pPr>
        <w:autoSpaceDE w:val="0"/>
        <w:autoSpaceDN w:val="0"/>
        <w:adjustRightInd w:val="0"/>
        <w:ind w:left="284" w:firstLine="436"/>
        <w:rPr>
          <w:bCs/>
          <w:color w:val="000000"/>
          <w:lang w:val="en-ID"/>
        </w:rPr>
        <w:sectPr w:rsidR="005415B3" w:rsidSect="00D20A89">
          <w:type w:val="continuous"/>
          <w:pgSz w:w="11907" w:h="16840" w:code="9"/>
          <w:pgMar w:top="1440" w:right="1440" w:bottom="1440" w:left="1440" w:header="720" w:footer="720" w:gutter="0"/>
          <w:cols w:num="2" w:space="708"/>
          <w:docGrid w:linePitch="360"/>
        </w:sectPr>
      </w:pPr>
    </w:p>
    <w:p w14:paraId="129308C1" w14:textId="77777777" w:rsidR="000F7F53" w:rsidRDefault="000F7F53" w:rsidP="005415B3">
      <w:pPr>
        <w:autoSpaceDE w:val="0"/>
        <w:autoSpaceDN w:val="0"/>
        <w:adjustRightInd w:val="0"/>
        <w:ind w:left="284" w:firstLine="436"/>
        <w:rPr>
          <w:bCs/>
          <w:color w:val="000000"/>
          <w:lang w:val="en-ID"/>
        </w:rPr>
      </w:pPr>
    </w:p>
    <w:p w14:paraId="112314BF" w14:textId="77777777" w:rsidR="000F7F53" w:rsidRDefault="000F7F53" w:rsidP="005415B3">
      <w:pPr>
        <w:autoSpaceDE w:val="0"/>
        <w:autoSpaceDN w:val="0"/>
        <w:adjustRightInd w:val="0"/>
        <w:ind w:left="284" w:firstLine="436"/>
        <w:rPr>
          <w:bCs/>
          <w:color w:val="000000"/>
          <w:lang w:val="en-ID"/>
        </w:rPr>
      </w:pPr>
    </w:p>
    <w:p w14:paraId="32FB22A6" w14:textId="368E6E1D" w:rsidR="005415B3" w:rsidRDefault="005415B3" w:rsidP="005415B3">
      <w:pPr>
        <w:autoSpaceDE w:val="0"/>
        <w:autoSpaceDN w:val="0"/>
        <w:adjustRightInd w:val="0"/>
        <w:ind w:left="284" w:firstLine="436"/>
        <w:rPr>
          <w:bCs/>
          <w:color w:val="000000"/>
          <w:lang w:val="en-ID"/>
        </w:rPr>
      </w:pPr>
      <w:r>
        <w:rPr>
          <w:bCs/>
          <w:color w:val="000000"/>
          <w:lang w:val="en-ID"/>
        </w:rPr>
        <w:lastRenderedPageBreak/>
        <w:t xml:space="preserve">Berdasarkan rumus 4.3., didapatkan nilai ARP dari masing-masing ARP yang ditunjukan pada tabel 4.5. </w:t>
      </w:r>
      <w:proofErr w:type="gramStart"/>
      <w:r>
        <w:rPr>
          <w:bCs/>
          <w:color w:val="000000"/>
          <w:lang w:val="en-ID"/>
        </w:rPr>
        <w:t>sebagai</w:t>
      </w:r>
      <w:proofErr w:type="gramEnd"/>
      <w:r>
        <w:rPr>
          <w:bCs/>
          <w:color w:val="000000"/>
          <w:lang w:val="en-ID"/>
        </w:rPr>
        <w:t xml:space="preserve"> berikut:</w:t>
      </w:r>
    </w:p>
    <w:p w14:paraId="72E3107D" w14:textId="77777777" w:rsidR="005415B3" w:rsidRDefault="005415B3" w:rsidP="00D20A89">
      <w:pPr>
        <w:spacing w:line="240" w:lineRule="auto"/>
        <w:jc w:val="both"/>
        <w:rPr>
          <w:bCs/>
          <w:sz w:val="22"/>
          <w:lang w:val="en-ID"/>
        </w:rPr>
        <w:sectPr w:rsidR="005415B3" w:rsidSect="005415B3">
          <w:type w:val="continuous"/>
          <w:pgSz w:w="11907" w:h="16840" w:code="9"/>
          <w:pgMar w:top="1440" w:right="1440" w:bottom="1440" w:left="1440" w:header="720" w:footer="720" w:gutter="0"/>
          <w:cols w:space="708"/>
          <w:docGrid w:linePitch="360"/>
        </w:sectPr>
      </w:pPr>
    </w:p>
    <w:p w14:paraId="62ACBAE5" w14:textId="519DF434" w:rsidR="00D20A89" w:rsidRPr="00D20A89" w:rsidRDefault="005415B3" w:rsidP="00D20A89">
      <w:pPr>
        <w:spacing w:line="240" w:lineRule="auto"/>
        <w:jc w:val="center"/>
        <w:rPr>
          <w:b/>
          <w:bCs/>
          <w:sz w:val="22"/>
          <w:lang w:val="en-ID"/>
        </w:rPr>
      </w:pPr>
      <w:r>
        <w:rPr>
          <w:b/>
          <w:bCs/>
          <w:sz w:val="22"/>
          <w:lang w:val="en-ID"/>
        </w:rPr>
        <w:t>Tabel 4</w:t>
      </w:r>
      <w:r w:rsidR="00D20A89" w:rsidRPr="00D20A89">
        <w:rPr>
          <w:b/>
          <w:bCs/>
          <w:sz w:val="22"/>
          <w:lang w:val="en-ID"/>
        </w:rPr>
        <w:t>.5. Nilai Aggregate Risk Potential (ARP)</w:t>
      </w:r>
    </w:p>
    <w:p w14:paraId="236E5D6B" w14:textId="77777777" w:rsidR="00D20A89" w:rsidRDefault="00D20A89" w:rsidP="00D20A89">
      <w:pPr>
        <w:spacing w:line="240" w:lineRule="auto"/>
        <w:jc w:val="both"/>
        <w:rPr>
          <w:b/>
          <w:bCs/>
          <w:sz w:val="22"/>
          <w:lang w:val="en-ID"/>
        </w:rPr>
        <w:sectPr w:rsidR="00D20A89" w:rsidSect="00D20A89">
          <w:type w:val="continuous"/>
          <w:pgSz w:w="11907" w:h="16840" w:code="9"/>
          <w:pgMar w:top="1440" w:right="1440" w:bottom="1440" w:left="1440" w:header="720" w:footer="720" w:gutter="0"/>
          <w:cols w:space="708"/>
          <w:docGrid w:linePitch="360"/>
        </w:sectPr>
      </w:pPr>
    </w:p>
    <w:tbl>
      <w:tblPr>
        <w:tblW w:w="6896" w:type="dxa"/>
        <w:jc w:val="center"/>
        <w:tblLook w:val="04A0" w:firstRow="1" w:lastRow="0" w:firstColumn="1" w:lastColumn="0" w:noHBand="0" w:noVBand="1"/>
      </w:tblPr>
      <w:tblGrid>
        <w:gridCol w:w="1129"/>
        <w:gridCol w:w="2410"/>
        <w:gridCol w:w="2126"/>
        <w:gridCol w:w="1231"/>
      </w:tblGrid>
      <w:tr w:rsidR="00D20A89" w:rsidRPr="00D20A89" w14:paraId="0FCACF41" w14:textId="77777777" w:rsidTr="005415B3">
        <w:trPr>
          <w:tblHeade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78AD430" w14:textId="401C9434" w:rsidR="00D20A89" w:rsidRPr="00D20A89" w:rsidRDefault="00D20A89" w:rsidP="005415B3">
            <w:pPr>
              <w:spacing w:line="240" w:lineRule="auto"/>
              <w:jc w:val="center"/>
              <w:rPr>
                <w:b/>
                <w:bCs/>
                <w:sz w:val="22"/>
                <w:lang w:val="en-ID"/>
              </w:rPr>
            </w:pPr>
            <w:r w:rsidRPr="00D20A89">
              <w:rPr>
                <w:b/>
                <w:bCs/>
                <w:sz w:val="22"/>
                <w:lang w:val="en-ID"/>
              </w:rPr>
              <w:t>Ranking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3FAE59E" w14:textId="77777777" w:rsidR="00D20A89" w:rsidRPr="00D20A89" w:rsidRDefault="00D20A89" w:rsidP="005415B3">
            <w:pPr>
              <w:spacing w:line="240" w:lineRule="auto"/>
              <w:jc w:val="center"/>
              <w:rPr>
                <w:b/>
                <w:bCs/>
                <w:sz w:val="22"/>
                <w:lang w:val="en-ID"/>
              </w:rPr>
            </w:pPr>
            <w:r w:rsidRPr="00D20A89">
              <w:rPr>
                <w:b/>
                <w:bCs/>
                <w:sz w:val="22"/>
                <w:lang w:val="en-ID"/>
              </w:rPr>
              <w:t>Sumber Risiko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47B060" w14:textId="77777777" w:rsidR="00D20A89" w:rsidRPr="00D20A89" w:rsidRDefault="00D20A89" w:rsidP="005415B3">
            <w:pPr>
              <w:spacing w:line="240" w:lineRule="auto"/>
              <w:jc w:val="center"/>
              <w:rPr>
                <w:b/>
                <w:bCs/>
                <w:sz w:val="22"/>
                <w:lang w:val="en-ID"/>
              </w:rPr>
            </w:pPr>
            <w:r w:rsidRPr="00D20A89">
              <w:rPr>
                <w:b/>
                <w:bCs/>
                <w:sz w:val="22"/>
                <w:lang w:val="en-ID"/>
              </w:rPr>
              <w:t>Kode Sumber Risiko</w:t>
            </w:r>
          </w:p>
        </w:tc>
        <w:tc>
          <w:tcPr>
            <w:tcW w:w="1231" w:type="dxa"/>
            <w:tcBorders>
              <w:top w:val="single" w:sz="4" w:space="0" w:color="auto"/>
              <w:left w:val="single" w:sz="4" w:space="0" w:color="auto"/>
              <w:bottom w:val="single" w:sz="4" w:space="0" w:color="auto"/>
              <w:right w:val="single" w:sz="4" w:space="0" w:color="auto"/>
            </w:tcBorders>
            <w:vAlign w:val="center"/>
            <w:hideMark/>
          </w:tcPr>
          <w:p w14:paraId="5845FB69" w14:textId="77777777" w:rsidR="00D20A89" w:rsidRPr="00D20A89" w:rsidRDefault="00D20A89" w:rsidP="005415B3">
            <w:pPr>
              <w:spacing w:line="240" w:lineRule="auto"/>
              <w:jc w:val="center"/>
              <w:rPr>
                <w:b/>
                <w:bCs/>
                <w:sz w:val="22"/>
                <w:lang w:val="en-ID"/>
              </w:rPr>
            </w:pPr>
            <w:r w:rsidRPr="00D20A89">
              <w:rPr>
                <w:b/>
                <w:bCs/>
                <w:sz w:val="22"/>
                <w:lang w:val="en-ID"/>
              </w:rPr>
              <w:t>Nilai ARP</w:t>
            </w:r>
          </w:p>
        </w:tc>
      </w:tr>
      <w:tr w:rsidR="00D20A89" w:rsidRPr="00D20A89" w14:paraId="5F4C046A" w14:textId="77777777" w:rsidTr="005415B3">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27D9780" w14:textId="77777777" w:rsidR="00D20A89" w:rsidRPr="00D20A89" w:rsidRDefault="00D20A89" w:rsidP="005415B3">
            <w:pPr>
              <w:spacing w:line="240" w:lineRule="auto"/>
              <w:jc w:val="center"/>
              <w:rPr>
                <w:bCs/>
                <w:sz w:val="22"/>
                <w:lang w:val="en-ID"/>
              </w:rPr>
            </w:pPr>
            <w:r w:rsidRPr="00D20A89">
              <w:rPr>
                <w:bCs/>
                <w:sz w:val="22"/>
                <w:lang w:val="en-ID"/>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29EDC1" w14:textId="77777777" w:rsidR="00D20A89" w:rsidRPr="00D20A89" w:rsidRDefault="00D20A89" w:rsidP="005415B3">
            <w:pPr>
              <w:spacing w:line="240" w:lineRule="auto"/>
              <w:jc w:val="both"/>
              <w:rPr>
                <w:bCs/>
                <w:i/>
                <w:sz w:val="22"/>
                <w:lang w:val="en-AU"/>
              </w:rPr>
            </w:pPr>
            <w:r w:rsidRPr="00D20A89">
              <w:rPr>
                <w:bCs/>
                <w:i/>
                <w:sz w:val="22"/>
                <w:lang w:val="en-AU"/>
              </w:rPr>
              <w:t>Human Error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92E073" w14:textId="77777777" w:rsidR="00D20A89" w:rsidRPr="00D20A89" w:rsidRDefault="00D20A89" w:rsidP="005415B3">
            <w:pPr>
              <w:spacing w:line="240" w:lineRule="auto"/>
              <w:jc w:val="center"/>
              <w:rPr>
                <w:bCs/>
                <w:sz w:val="22"/>
                <w:lang w:val="en-AU"/>
              </w:rPr>
            </w:pPr>
            <w:r w:rsidRPr="00D20A89">
              <w:rPr>
                <w:bCs/>
                <w:sz w:val="22"/>
                <w:lang w:val="en-AU"/>
              </w:rPr>
              <w:t>A3</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3B985B9" w14:textId="77777777" w:rsidR="00D20A89" w:rsidRPr="00D20A89" w:rsidRDefault="00D20A89" w:rsidP="005415B3">
            <w:pPr>
              <w:spacing w:line="240" w:lineRule="auto"/>
              <w:jc w:val="center"/>
              <w:rPr>
                <w:bCs/>
                <w:sz w:val="22"/>
                <w:lang w:val="en-AU"/>
              </w:rPr>
            </w:pPr>
            <w:r w:rsidRPr="00D20A89">
              <w:rPr>
                <w:bCs/>
                <w:sz w:val="22"/>
                <w:lang w:val="en-AU"/>
              </w:rPr>
              <w:t>423</w:t>
            </w:r>
          </w:p>
        </w:tc>
      </w:tr>
      <w:tr w:rsidR="00D20A89" w:rsidRPr="00D20A89" w14:paraId="0E4243FF" w14:textId="77777777" w:rsidTr="005415B3">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2523A2B" w14:textId="77777777" w:rsidR="00D20A89" w:rsidRPr="00D20A89" w:rsidRDefault="00D20A89" w:rsidP="005415B3">
            <w:pPr>
              <w:spacing w:line="240" w:lineRule="auto"/>
              <w:jc w:val="center"/>
              <w:rPr>
                <w:bCs/>
                <w:sz w:val="22"/>
                <w:lang w:val="en-ID"/>
              </w:rPr>
            </w:pPr>
            <w:r w:rsidRPr="00D20A89">
              <w:rPr>
                <w:bCs/>
                <w:sz w:val="22"/>
                <w:lang w:val="en-ID"/>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8E2710" w14:textId="77777777" w:rsidR="00D20A89" w:rsidRPr="00D20A89" w:rsidRDefault="00D20A89" w:rsidP="005415B3">
            <w:pPr>
              <w:spacing w:line="240" w:lineRule="auto"/>
              <w:jc w:val="both"/>
              <w:rPr>
                <w:bCs/>
                <w:sz w:val="22"/>
                <w:lang w:val="en-AU"/>
              </w:rPr>
            </w:pPr>
            <w:r w:rsidRPr="00D20A89">
              <w:rPr>
                <w:bCs/>
                <w:sz w:val="22"/>
                <w:lang w:val="en-AU"/>
              </w:rPr>
              <w:t>Kualitas Bibit yang buruk</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7D676F" w14:textId="77777777" w:rsidR="00D20A89" w:rsidRPr="00D20A89" w:rsidRDefault="00D20A89" w:rsidP="005415B3">
            <w:pPr>
              <w:spacing w:line="240" w:lineRule="auto"/>
              <w:jc w:val="center"/>
              <w:rPr>
                <w:bCs/>
                <w:sz w:val="22"/>
                <w:lang w:val="en-AU"/>
              </w:rPr>
            </w:pPr>
            <w:r w:rsidRPr="00D20A89">
              <w:rPr>
                <w:bCs/>
                <w:sz w:val="22"/>
                <w:lang w:val="en-AU"/>
              </w:rPr>
              <w:t>A7</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CF5D6E7" w14:textId="77777777" w:rsidR="00D20A89" w:rsidRPr="00D20A89" w:rsidRDefault="00D20A89" w:rsidP="005415B3">
            <w:pPr>
              <w:spacing w:line="240" w:lineRule="auto"/>
              <w:jc w:val="center"/>
              <w:rPr>
                <w:bCs/>
                <w:sz w:val="22"/>
                <w:lang w:val="en-AU"/>
              </w:rPr>
            </w:pPr>
            <w:r w:rsidRPr="00D20A89">
              <w:rPr>
                <w:bCs/>
                <w:sz w:val="22"/>
                <w:lang w:val="en-AU"/>
              </w:rPr>
              <w:t>267</w:t>
            </w:r>
          </w:p>
        </w:tc>
      </w:tr>
      <w:tr w:rsidR="00D20A89" w:rsidRPr="00D20A89" w14:paraId="37E3D9D5" w14:textId="77777777" w:rsidTr="005415B3">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F374C94" w14:textId="77777777" w:rsidR="00D20A89" w:rsidRPr="00D20A89" w:rsidRDefault="00D20A89" w:rsidP="005415B3">
            <w:pPr>
              <w:spacing w:line="240" w:lineRule="auto"/>
              <w:jc w:val="center"/>
              <w:rPr>
                <w:bCs/>
                <w:sz w:val="22"/>
                <w:lang w:val="en-ID"/>
              </w:rPr>
            </w:pPr>
            <w:r w:rsidRPr="00D20A89">
              <w:rPr>
                <w:bCs/>
                <w:sz w:val="22"/>
                <w:lang w:val="en-ID"/>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781936C" w14:textId="77777777" w:rsidR="00D20A89" w:rsidRPr="00D20A89" w:rsidRDefault="00D20A89" w:rsidP="005415B3">
            <w:pPr>
              <w:spacing w:line="240" w:lineRule="auto"/>
              <w:jc w:val="both"/>
              <w:rPr>
                <w:bCs/>
                <w:sz w:val="22"/>
                <w:lang w:val="en-AU"/>
              </w:rPr>
            </w:pPr>
            <w:r w:rsidRPr="00D20A89">
              <w:rPr>
                <w:bCs/>
                <w:sz w:val="22"/>
                <w:lang w:val="en-AU"/>
              </w:rPr>
              <w:t>Gangguan transportasi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015EEB" w14:textId="77777777" w:rsidR="00D20A89" w:rsidRPr="00D20A89" w:rsidRDefault="00D20A89" w:rsidP="005415B3">
            <w:pPr>
              <w:spacing w:line="240" w:lineRule="auto"/>
              <w:jc w:val="center"/>
              <w:rPr>
                <w:bCs/>
                <w:sz w:val="22"/>
                <w:lang w:val="en-AU"/>
              </w:rPr>
            </w:pPr>
            <w:r w:rsidRPr="00D20A89">
              <w:rPr>
                <w:bCs/>
                <w:sz w:val="22"/>
                <w:lang w:val="en-AU"/>
              </w:rPr>
              <w:t>A5</w:t>
            </w:r>
          </w:p>
        </w:tc>
        <w:tc>
          <w:tcPr>
            <w:tcW w:w="1231" w:type="dxa"/>
            <w:tcBorders>
              <w:top w:val="single" w:sz="4" w:space="0" w:color="auto"/>
              <w:left w:val="single" w:sz="4" w:space="0" w:color="auto"/>
              <w:bottom w:val="single" w:sz="4" w:space="0" w:color="auto"/>
              <w:right w:val="single" w:sz="4" w:space="0" w:color="auto"/>
            </w:tcBorders>
            <w:vAlign w:val="center"/>
            <w:hideMark/>
          </w:tcPr>
          <w:p w14:paraId="1CA31831" w14:textId="77777777" w:rsidR="00D20A89" w:rsidRPr="00D20A89" w:rsidRDefault="00D20A89" w:rsidP="005415B3">
            <w:pPr>
              <w:spacing w:line="240" w:lineRule="auto"/>
              <w:jc w:val="center"/>
              <w:rPr>
                <w:bCs/>
                <w:sz w:val="22"/>
                <w:lang w:val="en-AU"/>
              </w:rPr>
            </w:pPr>
            <w:r w:rsidRPr="00D20A89">
              <w:rPr>
                <w:bCs/>
                <w:sz w:val="22"/>
                <w:lang w:val="en-AU"/>
              </w:rPr>
              <w:t>116</w:t>
            </w:r>
          </w:p>
        </w:tc>
      </w:tr>
      <w:tr w:rsidR="00D20A89" w:rsidRPr="00D20A89" w14:paraId="401E8C93" w14:textId="77777777" w:rsidTr="005415B3">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B28858A" w14:textId="77777777" w:rsidR="00D20A89" w:rsidRPr="00D20A89" w:rsidRDefault="00D20A89" w:rsidP="005415B3">
            <w:pPr>
              <w:spacing w:line="240" w:lineRule="auto"/>
              <w:jc w:val="center"/>
              <w:rPr>
                <w:bCs/>
                <w:sz w:val="22"/>
                <w:lang w:val="en-ID"/>
              </w:rPr>
            </w:pPr>
            <w:r w:rsidRPr="00D20A89">
              <w:rPr>
                <w:bCs/>
                <w:sz w:val="22"/>
                <w:lang w:val="en-ID"/>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C97CBB6" w14:textId="77777777" w:rsidR="00D20A89" w:rsidRPr="00D20A89" w:rsidRDefault="00D20A89" w:rsidP="005415B3">
            <w:pPr>
              <w:spacing w:line="240" w:lineRule="auto"/>
              <w:jc w:val="both"/>
              <w:rPr>
                <w:bCs/>
                <w:sz w:val="22"/>
                <w:lang w:val="en-AU"/>
              </w:rPr>
            </w:pPr>
            <w:r w:rsidRPr="00D20A89">
              <w:rPr>
                <w:bCs/>
                <w:sz w:val="22"/>
                <w:lang w:val="en-AU"/>
              </w:rPr>
              <w:t>Permintaan konsumen yang tidak pasti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6ED106" w14:textId="77777777" w:rsidR="00D20A89" w:rsidRPr="00D20A89" w:rsidRDefault="00D20A89" w:rsidP="005415B3">
            <w:pPr>
              <w:spacing w:line="240" w:lineRule="auto"/>
              <w:jc w:val="center"/>
              <w:rPr>
                <w:bCs/>
                <w:sz w:val="22"/>
                <w:lang w:val="en-AU"/>
              </w:rPr>
            </w:pPr>
            <w:r w:rsidRPr="00D20A89">
              <w:rPr>
                <w:bCs/>
                <w:sz w:val="22"/>
                <w:lang w:val="en-AU"/>
              </w:rPr>
              <w:t>A2</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45586BA" w14:textId="77777777" w:rsidR="00D20A89" w:rsidRPr="00D20A89" w:rsidRDefault="00D20A89" w:rsidP="005415B3">
            <w:pPr>
              <w:spacing w:line="240" w:lineRule="auto"/>
              <w:jc w:val="center"/>
              <w:rPr>
                <w:bCs/>
                <w:sz w:val="22"/>
                <w:lang w:val="en-AU"/>
              </w:rPr>
            </w:pPr>
            <w:r w:rsidRPr="00D20A89">
              <w:rPr>
                <w:bCs/>
                <w:sz w:val="22"/>
                <w:lang w:val="en-AU"/>
              </w:rPr>
              <w:t>56</w:t>
            </w:r>
          </w:p>
        </w:tc>
      </w:tr>
      <w:tr w:rsidR="00D20A89" w:rsidRPr="00D20A89" w14:paraId="343BB892" w14:textId="77777777" w:rsidTr="005415B3">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F03B8AB" w14:textId="77777777" w:rsidR="00D20A89" w:rsidRPr="00D20A89" w:rsidRDefault="00D20A89" w:rsidP="005415B3">
            <w:pPr>
              <w:spacing w:line="240" w:lineRule="auto"/>
              <w:jc w:val="center"/>
              <w:rPr>
                <w:bCs/>
                <w:sz w:val="22"/>
                <w:lang w:val="en-ID"/>
              </w:rPr>
            </w:pPr>
            <w:r w:rsidRPr="00D20A89">
              <w:rPr>
                <w:bCs/>
                <w:sz w:val="22"/>
                <w:lang w:val="en-ID"/>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D06D15" w14:textId="77777777" w:rsidR="00D20A89" w:rsidRPr="00D20A89" w:rsidRDefault="00D20A89" w:rsidP="005415B3">
            <w:pPr>
              <w:spacing w:line="240" w:lineRule="auto"/>
              <w:jc w:val="both"/>
              <w:rPr>
                <w:bCs/>
                <w:sz w:val="22"/>
                <w:lang w:val="en-AU"/>
              </w:rPr>
            </w:pPr>
            <w:r w:rsidRPr="00D20A89">
              <w:rPr>
                <w:bCs/>
                <w:sz w:val="22"/>
                <w:lang w:val="en-AU"/>
              </w:rPr>
              <w:t>Peningkatan permintaan yang signifikan</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F5AD4C" w14:textId="77777777" w:rsidR="00D20A89" w:rsidRPr="00D20A89" w:rsidRDefault="00D20A89" w:rsidP="005415B3">
            <w:pPr>
              <w:spacing w:line="240" w:lineRule="auto"/>
              <w:jc w:val="center"/>
              <w:rPr>
                <w:bCs/>
                <w:sz w:val="22"/>
                <w:lang w:val="en-AU"/>
              </w:rPr>
            </w:pPr>
            <w:r w:rsidRPr="00D20A89">
              <w:rPr>
                <w:bCs/>
                <w:sz w:val="22"/>
                <w:lang w:val="en-AU"/>
              </w:rPr>
              <w:t>A1</w:t>
            </w:r>
          </w:p>
        </w:tc>
        <w:tc>
          <w:tcPr>
            <w:tcW w:w="1231" w:type="dxa"/>
            <w:tcBorders>
              <w:top w:val="single" w:sz="4" w:space="0" w:color="auto"/>
              <w:left w:val="single" w:sz="4" w:space="0" w:color="auto"/>
              <w:bottom w:val="single" w:sz="4" w:space="0" w:color="auto"/>
              <w:right w:val="single" w:sz="4" w:space="0" w:color="auto"/>
            </w:tcBorders>
            <w:vAlign w:val="center"/>
            <w:hideMark/>
          </w:tcPr>
          <w:p w14:paraId="06062164" w14:textId="77777777" w:rsidR="00D20A89" w:rsidRPr="00D20A89" w:rsidRDefault="00D20A89" w:rsidP="005415B3">
            <w:pPr>
              <w:spacing w:line="240" w:lineRule="auto"/>
              <w:jc w:val="center"/>
              <w:rPr>
                <w:bCs/>
                <w:sz w:val="22"/>
                <w:lang w:val="en-AU"/>
              </w:rPr>
            </w:pPr>
            <w:r w:rsidRPr="00D20A89">
              <w:rPr>
                <w:bCs/>
                <w:sz w:val="22"/>
                <w:lang w:val="en-AU"/>
              </w:rPr>
              <w:t>54</w:t>
            </w:r>
          </w:p>
        </w:tc>
      </w:tr>
      <w:tr w:rsidR="00D20A89" w:rsidRPr="00D20A89" w14:paraId="10CCF3AF" w14:textId="77777777" w:rsidTr="005415B3">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2247833" w14:textId="77777777" w:rsidR="00D20A89" w:rsidRPr="00D20A89" w:rsidRDefault="00D20A89" w:rsidP="005415B3">
            <w:pPr>
              <w:spacing w:line="240" w:lineRule="auto"/>
              <w:jc w:val="center"/>
              <w:rPr>
                <w:bCs/>
                <w:sz w:val="22"/>
                <w:lang w:val="en-ID"/>
              </w:rPr>
            </w:pPr>
            <w:r w:rsidRPr="00D20A89">
              <w:rPr>
                <w:bCs/>
                <w:sz w:val="22"/>
                <w:lang w:val="en-ID"/>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244172" w14:textId="77777777" w:rsidR="00D20A89" w:rsidRPr="00D20A89" w:rsidRDefault="00D20A89" w:rsidP="005415B3">
            <w:pPr>
              <w:spacing w:line="240" w:lineRule="auto"/>
              <w:jc w:val="both"/>
              <w:rPr>
                <w:bCs/>
                <w:sz w:val="22"/>
                <w:lang w:val="en-AU"/>
              </w:rPr>
            </w:pPr>
            <w:r w:rsidRPr="00D20A89">
              <w:rPr>
                <w:bCs/>
                <w:sz w:val="22"/>
                <w:lang w:val="en-AU"/>
              </w:rPr>
              <w:t>Suplai bibit kurang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EFBB9C" w14:textId="77777777" w:rsidR="00D20A89" w:rsidRPr="00D20A89" w:rsidRDefault="00D20A89" w:rsidP="005415B3">
            <w:pPr>
              <w:spacing w:line="240" w:lineRule="auto"/>
              <w:jc w:val="center"/>
              <w:rPr>
                <w:bCs/>
                <w:sz w:val="22"/>
                <w:lang w:val="en-AU"/>
              </w:rPr>
            </w:pPr>
            <w:r w:rsidRPr="00D20A89">
              <w:rPr>
                <w:bCs/>
                <w:sz w:val="22"/>
                <w:lang w:val="en-AU"/>
              </w:rPr>
              <w:t>A6</w:t>
            </w:r>
          </w:p>
        </w:tc>
        <w:tc>
          <w:tcPr>
            <w:tcW w:w="1231" w:type="dxa"/>
            <w:tcBorders>
              <w:top w:val="single" w:sz="4" w:space="0" w:color="auto"/>
              <w:left w:val="single" w:sz="4" w:space="0" w:color="auto"/>
              <w:bottom w:val="single" w:sz="4" w:space="0" w:color="auto"/>
              <w:right w:val="single" w:sz="4" w:space="0" w:color="auto"/>
            </w:tcBorders>
            <w:vAlign w:val="center"/>
            <w:hideMark/>
          </w:tcPr>
          <w:p w14:paraId="28FD19A1" w14:textId="77777777" w:rsidR="00D20A89" w:rsidRPr="00D20A89" w:rsidRDefault="00D20A89" w:rsidP="005415B3">
            <w:pPr>
              <w:spacing w:line="240" w:lineRule="auto"/>
              <w:jc w:val="center"/>
              <w:rPr>
                <w:bCs/>
                <w:sz w:val="22"/>
                <w:lang w:val="en-AU"/>
              </w:rPr>
            </w:pPr>
            <w:r w:rsidRPr="00D20A89">
              <w:rPr>
                <w:bCs/>
                <w:sz w:val="22"/>
                <w:lang w:val="en-AU"/>
              </w:rPr>
              <w:t>51</w:t>
            </w:r>
          </w:p>
        </w:tc>
      </w:tr>
      <w:tr w:rsidR="00D20A89" w:rsidRPr="00D20A89" w14:paraId="6626654B" w14:textId="77777777" w:rsidTr="005415B3">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1AD2AE9" w14:textId="77777777" w:rsidR="00D20A89" w:rsidRPr="00D20A89" w:rsidRDefault="00D20A89" w:rsidP="005415B3">
            <w:pPr>
              <w:spacing w:line="240" w:lineRule="auto"/>
              <w:jc w:val="center"/>
              <w:rPr>
                <w:bCs/>
                <w:sz w:val="22"/>
                <w:lang w:val="en-ID"/>
              </w:rPr>
            </w:pPr>
            <w:r w:rsidRPr="00D20A89">
              <w:rPr>
                <w:bCs/>
                <w:sz w:val="22"/>
                <w:lang w:val="en-ID"/>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53F82D" w14:textId="77777777" w:rsidR="00D20A89" w:rsidRPr="00D20A89" w:rsidRDefault="00D20A89" w:rsidP="005415B3">
            <w:pPr>
              <w:spacing w:line="240" w:lineRule="auto"/>
              <w:jc w:val="both"/>
              <w:rPr>
                <w:bCs/>
                <w:sz w:val="22"/>
                <w:lang w:val="en-AU"/>
              </w:rPr>
            </w:pPr>
            <w:r w:rsidRPr="00D20A89">
              <w:rPr>
                <w:bCs/>
                <w:sz w:val="22"/>
                <w:lang w:val="en-AU"/>
              </w:rPr>
              <w:t>Terjadinya gangguan pada proses produksi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648D6C" w14:textId="77777777" w:rsidR="00D20A89" w:rsidRPr="00D20A89" w:rsidRDefault="00D20A89" w:rsidP="005415B3">
            <w:pPr>
              <w:spacing w:line="240" w:lineRule="auto"/>
              <w:jc w:val="center"/>
              <w:rPr>
                <w:bCs/>
                <w:sz w:val="22"/>
                <w:lang w:val="en-AU"/>
              </w:rPr>
            </w:pPr>
            <w:r w:rsidRPr="00D20A89">
              <w:rPr>
                <w:bCs/>
                <w:sz w:val="22"/>
                <w:lang w:val="en-AU"/>
              </w:rPr>
              <w:t>A4</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F922F1E" w14:textId="77777777" w:rsidR="00D20A89" w:rsidRPr="00D20A89" w:rsidRDefault="00D20A89" w:rsidP="005415B3">
            <w:pPr>
              <w:spacing w:line="240" w:lineRule="auto"/>
              <w:jc w:val="center"/>
              <w:rPr>
                <w:bCs/>
                <w:sz w:val="22"/>
                <w:lang w:val="en-AU"/>
              </w:rPr>
            </w:pPr>
            <w:r w:rsidRPr="00D20A89">
              <w:rPr>
                <w:bCs/>
                <w:sz w:val="22"/>
                <w:lang w:val="en-AU"/>
              </w:rPr>
              <w:t>32</w:t>
            </w:r>
          </w:p>
        </w:tc>
      </w:tr>
    </w:tbl>
    <w:p w14:paraId="4174FBB1" w14:textId="77777777" w:rsidR="005415B3" w:rsidRDefault="005415B3" w:rsidP="00D20A89">
      <w:pPr>
        <w:spacing w:line="240" w:lineRule="auto"/>
        <w:jc w:val="both"/>
        <w:rPr>
          <w:b/>
          <w:bCs/>
          <w:sz w:val="22"/>
          <w:lang w:val="en-ID"/>
        </w:rPr>
        <w:sectPr w:rsidR="005415B3" w:rsidSect="005415B3">
          <w:type w:val="continuous"/>
          <w:pgSz w:w="11907" w:h="16840" w:code="9"/>
          <w:pgMar w:top="1440" w:right="1440" w:bottom="1440" w:left="1440" w:header="720" w:footer="720" w:gutter="0"/>
          <w:cols w:space="708"/>
          <w:docGrid w:linePitch="360"/>
        </w:sectPr>
      </w:pPr>
    </w:p>
    <w:p w14:paraId="6EE51AAB" w14:textId="2281B50C" w:rsidR="00D20A89" w:rsidRPr="00D20A89" w:rsidRDefault="00D20A89" w:rsidP="005415B3">
      <w:pPr>
        <w:spacing w:line="240" w:lineRule="auto"/>
        <w:jc w:val="both"/>
        <w:rPr>
          <w:bCs/>
          <w:sz w:val="22"/>
          <w:lang w:val="en-ID"/>
        </w:rPr>
      </w:pPr>
      <w:r w:rsidRPr="00D20A89">
        <w:rPr>
          <w:b/>
          <w:bCs/>
          <w:sz w:val="22"/>
          <w:lang w:val="en-ID"/>
        </w:rPr>
        <w:tab/>
      </w:r>
      <w:r w:rsidRPr="00D20A89">
        <w:rPr>
          <w:bCs/>
          <w:sz w:val="22"/>
          <w:lang w:val="en-ID"/>
        </w:rPr>
        <w:t xml:space="preserve">Berdasarkan hasil tersebut, digunakan diagram </w:t>
      </w:r>
      <w:proofErr w:type="gramStart"/>
      <w:r w:rsidRPr="00D20A89">
        <w:rPr>
          <w:bCs/>
          <w:sz w:val="22"/>
          <w:lang w:val="en-ID"/>
        </w:rPr>
        <w:t>pareto</w:t>
      </w:r>
      <w:proofErr w:type="gramEnd"/>
      <w:r w:rsidRPr="00D20A89">
        <w:rPr>
          <w:bCs/>
          <w:sz w:val="22"/>
          <w:lang w:val="en-ID"/>
        </w:rPr>
        <w:t xml:space="preserve"> untuk menentukan prioritas sumber risiko yang akan dilakukan mitigasi (Anggrahini et. al., 2015). Berdasarkan nilai ARP dari masing-masing sumber risiko yang telah diperoleh, dibuat menjadi nilai kumulatif. </w:t>
      </w:r>
      <w:r w:rsidRPr="00D20A89">
        <w:rPr>
          <w:bCs/>
          <w:sz w:val="22"/>
          <w:lang w:val="en-ID"/>
        </w:rPr>
        <w:t>Nilai kumulatif tersebut diurutkan, dimulai dari nilai terkecil hingga nilai terbesar. Sumber risiko yang dijadikan prioritas apabila termasuk dalam 80% dari nilai kumulatif. Berikut ini terdapat hasil nilai kumulatif dari masing-masing sumber risiko beserta kategorinya:</w:t>
      </w:r>
    </w:p>
    <w:p w14:paraId="4699F7DF" w14:textId="77777777" w:rsidR="005415B3" w:rsidRDefault="005415B3" w:rsidP="00D20A89">
      <w:pPr>
        <w:spacing w:line="240" w:lineRule="auto"/>
        <w:jc w:val="both"/>
        <w:rPr>
          <w:b/>
          <w:bCs/>
          <w:sz w:val="22"/>
          <w:lang w:val="en-ID"/>
        </w:rPr>
        <w:sectPr w:rsidR="005415B3" w:rsidSect="00D20A89">
          <w:type w:val="continuous"/>
          <w:pgSz w:w="11907" w:h="16840" w:code="9"/>
          <w:pgMar w:top="1440" w:right="1440" w:bottom="1440" w:left="1440" w:header="720" w:footer="720" w:gutter="0"/>
          <w:cols w:num="2" w:space="708"/>
          <w:docGrid w:linePitch="360"/>
        </w:sectPr>
      </w:pPr>
    </w:p>
    <w:p w14:paraId="714ACF9C" w14:textId="7A9C7BDD" w:rsidR="005415B3" w:rsidRDefault="005415B3" w:rsidP="005415B3">
      <w:pPr>
        <w:spacing w:line="240" w:lineRule="auto"/>
        <w:jc w:val="center"/>
        <w:rPr>
          <w:b/>
          <w:bCs/>
          <w:sz w:val="22"/>
          <w:lang w:val="en-ID"/>
        </w:rPr>
      </w:pPr>
    </w:p>
    <w:p w14:paraId="663D0CDA" w14:textId="5C68FAC6" w:rsidR="00D20A89" w:rsidRPr="00D20A89" w:rsidRDefault="00D20A89" w:rsidP="005415B3">
      <w:pPr>
        <w:spacing w:line="240" w:lineRule="auto"/>
        <w:jc w:val="center"/>
        <w:rPr>
          <w:b/>
          <w:bCs/>
          <w:sz w:val="22"/>
          <w:lang w:val="en-ID"/>
        </w:rPr>
      </w:pPr>
      <w:r w:rsidRPr="00D20A89">
        <w:rPr>
          <w:b/>
          <w:bCs/>
          <w:sz w:val="22"/>
          <w:lang w:val="en-ID"/>
        </w:rPr>
        <w:t xml:space="preserve">Tabel </w:t>
      </w:r>
      <w:r w:rsidR="005415B3">
        <w:rPr>
          <w:b/>
          <w:bCs/>
          <w:sz w:val="22"/>
          <w:lang w:val="en-ID"/>
        </w:rPr>
        <w:t>4.6</w:t>
      </w:r>
      <w:proofErr w:type="gramStart"/>
      <w:r w:rsidR="005415B3">
        <w:rPr>
          <w:b/>
          <w:bCs/>
          <w:sz w:val="22"/>
          <w:lang w:val="en-ID"/>
        </w:rPr>
        <w:t>.</w:t>
      </w:r>
      <w:r w:rsidRPr="00D20A89">
        <w:rPr>
          <w:b/>
          <w:bCs/>
          <w:sz w:val="22"/>
          <w:lang w:val="en-ID"/>
        </w:rPr>
        <w:t>.</w:t>
      </w:r>
      <w:proofErr w:type="gramEnd"/>
      <w:r w:rsidRPr="00D20A89">
        <w:rPr>
          <w:b/>
          <w:bCs/>
          <w:sz w:val="22"/>
          <w:lang w:val="en-ID"/>
        </w:rPr>
        <w:t xml:space="preserve"> Hasil Nilai Kumulatif dan Kategori Sumber Risiko</w:t>
      </w:r>
    </w:p>
    <w:tbl>
      <w:tblPr>
        <w:tblW w:w="7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23"/>
        <w:gridCol w:w="992"/>
        <w:gridCol w:w="1309"/>
        <w:gridCol w:w="1283"/>
        <w:gridCol w:w="1418"/>
      </w:tblGrid>
      <w:tr w:rsidR="00D20A89" w:rsidRPr="00D20A89" w14:paraId="18CB7C24" w14:textId="77777777" w:rsidTr="00D20A89">
        <w:trPr>
          <w:trHeight w:val="300"/>
          <w:jc w:val="center"/>
        </w:trPr>
        <w:tc>
          <w:tcPr>
            <w:tcW w:w="69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F22F56A" w14:textId="77777777" w:rsidR="00D20A89" w:rsidRPr="00D20A89" w:rsidRDefault="00D20A89" w:rsidP="005415B3">
            <w:pPr>
              <w:spacing w:line="240" w:lineRule="auto"/>
              <w:jc w:val="center"/>
              <w:rPr>
                <w:b/>
                <w:bCs/>
                <w:sz w:val="22"/>
                <w:lang w:val="en-ID"/>
              </w:rPr>
            </w:pPr>
            <w:r w:rsidRPr="00D20A89">
              <w:rPr>
                <w:b/>
                <w:bCs/>
                <w:sz w:val="22"/>
                <w:lang w:val="en-ID"/>
              </w:rPr>
              <w:t>No.</w:t>
            </w:r>
          </w:p>
        </w:tc>
        <w:tc>
          <w:tcPr>
            <w:tcW w:w="142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B2DC4C5" w14:textId="77777777" w:rsidR="00D20A89" w:rsidRPr="00D20A89" w:rsidRDefault="00D20A89" w:rsidP="005415B3">
            <w:pPr>
              <w:spacing w:line="240" w:lineRule="auto"/>
              <w:jc w:val="center"/>
              <w:rPr>
                <w:b/>
                <w:bCs/>
                <w:sz w:val="22"/>
                <w:lang w:val="en-ID"/>
              </w:rPr>
            </w:pPr>
            <w:r w:rsidRPr="00D20A89">
              <w:rPr>
                <w:b/>
                <w:bCs/>
                <w:sz w:val="22"/>
                <w:lang w:val="en-ID"/>
              </w:rPr>
              <w:t>Kode Sumber Risiko</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5E26433" w14:textId="77777777" w:rsidR="00D20A89" w:rsidRPr="00D20A89" w:rsidRDefault="00D20A89" w:rsidP="005415B3">
            <w:pPr>
              <w:spacing w:line="240" w:lineRule="auto"/>
              <w:jc w:val="center"/>
              <w:rPr>
                <w:b/>
                <w:bCs/>
                <w:sz w:val="22"/>
                <w:lang w:val="en-ID"/>
              </w:rPr>
            </w:pPr>
            <w:r w:rsidRPr="00D20A89">
              <w:rPr>
                <w:b/>
                <w:bCs/>
                <w:sz w:val="22"/>
                <w:lang w:val="en-ID"/>
              </w:rPr>
              <w:t>ARP</w:t>
            </w:r>
          </w:p>
        </w:tc>
        <w:tc>
          <w:tcPr>
            <w:tcW w:w="130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92ADFEF" w14:textId="77777777" w:rsidR="00D20A89" w:rsidRPr="00D20A89" w:rsidRDefault="00D20A89" w:rsidP="005415B3">
            <w:pPr>
              <w:spacing w:line="240" w:lineRule="auto"/>
              <w:jc w:val="center"/>
              <w:rPr>
                <w:b/>
                <w:bCs/>
                <w:sz w:val="22"/>
                <w:lang w:val="en-ID"/>
              </w:rPr>
            </w:pPr>
            <w:r w:rsidRPr="00D20A89">
              <w:rPr>
                <w:b/>
                <w:bCs/>
                <w:sz w:val="22"/>
                <w:lang w:val="en-ID"/>
              </w:rPr>
              <w:t>Nilai Persentase</w:t>
            </w:r>
          </w:p>
        </w:tc>
        <w:tc>
          <w:tcPr>
            <w:tcW w:w="12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CDD7A69" w14:textId="77777777" w:rsidR="00D20A89" w:rsidRPr="00D20A89" w:rsidRDefault="00D20A89" w:rsidP="005415B3">
            <w:pPr>
              <w:spacing w:line="240" w:lineRule="auto"/>
              <w:jc w:val="center"/>
              <w:rPr>
                <w:b/>
                <w:bCs/>
                <w:sz w:val="22"/>
                <w:lang w:val="en-ID"/>
              </w:rPr>
            </w:pPr>
            <w:r w:rsidRPr="00D20A89">
              <w:rPr>
                <w:b/>
                <w:bCs/>
                <w:sz w:val="22"/>
                <w:lang w:val="en-ID"/>
              </w:rPr>
              <w:t>Nilai Kumulatif</w:t>
            </w:r>
          </w:p>
        </w:tc>
        <w:tc>
          <w:tcPr>
            <w:tcW w:w="1418"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7ADFCE3" w14:textId="77777777" w:rsidR="00D20A89" w:rsidRPr="00D20A89" w:rsidRDefault="00D20A89" w:rsidP="005415B3">
            <w:pPr>
              <w:spacing w:line="240" w:lineRule="auto"/>
              <w:jc w:val="center"/>
              <w:rPr>
                <w:b/>
                <w:bCs/>
                <w:sz w:val="22"/>
                <w:lang w:val="en-ID"/>
              </w:rPr>
            </w:pPr>
            <w:r w:rsidRPr="00D20A89">
              <w:rPr>
                <w:b/>
                <w:bCs/>
                <w:sz w:val="22"/>
                <w:lang w:val="en-ID"/>
              </w:rPr>
              <w:t>Kategori</w:t>
            </w:r>
          </w:p>
        </w:tc>
      </w:tr>
      <w:tr w:rsidR="00D20A89" w:rsidRPr="00D20A89" w14:paraId="1600BB81" w14:textId="77777777" w:rsidTr="00D20A89">
        <w:trPr>
          <w:trHeight w:val="300"/>
          <w:jc w:val="center"/>
        </w:trPr>
        <w:tc>
          <w:tcPr>
            <w:tcW w:w="69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166253A" w14:textId="77777777" w:rsidR="00D20A89" w:rsidRPr="00D20A89" w:rsidRDefault="00D20A89" w:rsidP="005415B3">
            <w:pPr>
              <w:spacing w:line="240" w:lineRule="auto"/>
              <w:jc w:val="center"/>
              <w:rPr>
                <w:bCs/>
                <w:sz w:val="22"/>
                <w:lang w:val="en-ID"/>
              </w:rPr>
            </w:pPr>
            <w:r w:rsidRPr="00D20A89">
              <w:rPr>
                <w:bCs/>
                <w:sz w:val="22"/>
                <w:lang w:val="en-ID"/>
              </w:rPr>
              <w:t>1</w:t>
            </w:r>
          </w:p>
        </w:tc>
        <w:tc>
          <w:tcPr>
            <w:tcW w:w="142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6AF0C18" w14:textId="77777777" w:rsidR="00D20A89" w:rsidRPr="00D20A89" w:rsidRDefault="00D20A89" w:rsidP="005415B3">
            <w:pPr>
              <w:spacing w:line="240" w:lineRule="auto"/>
              <w:jc w:val="center"/>
              <w:rPr>
                <w:bCs/>
                <w:sz w:val="22"/>
                <w:lang w:val="en-ID"/>
              </w:rPr>
            </w:pPr>
            <w:r w:rsidRPr="00D20A89">
              <w:rPr>
                <w:bCs/>
                <w:sz w:val="22"/>
                <w:lang w:val="en-AU"/>
              </w:rPr>
              <w:t>A3</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46FCF63" w14:textId="77777777" w:rsidR="00D20A89" w:rsidRPr="00D20A89" w:rsidRDefault="00D20A89" w:rsidP="005415B3">
            <w:pPr>
              <w:spacing w:line="240" w:lineRule="auto"/>
              <w:jc w:val="center"/>
              <w:rPr>
                <w:bCs/>
                <w:sz w:val="22"/>
                <w:lang w:val="en-ID"/>
              </w:rPr>
            </w:pPr>
            <w:r w:rsidRPr="00D20A89">
              <w:rPr>
                <w:bCs/>
                <w:sz w:val="22"/>
                <w:lang w:val="en-AU"/>
              </w:rPr>
              <w:t>423</w:t>
            </w:r>
          </w:p>
        </w:tc>
        <w:tc>
          <w:tcPr>
            <w:tcW w:w="130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073B433" w14:textId="77777777" w:rsidR="00D20A89" w:rsidRPr="00D20A89" w:rsidRDefault="00D20A89" w:rsidP="005415B3">
            <w:pPr>
              <w:spacing w:line="240" w:lineRule="auto"/>
              <w:jc w:val="center"/>
              <w:rPr>
                <w:bCs/>
                <w:sz w:val="22"/>
                <w:lang w:val="en-ID"/>
              </w:rPr>
            </w:pPr>
            <w:r w:rsidRPr="00D20A89">
              <w:rPr>
                <w:sz w:val="22"/>
                <w:lang w:val="en-AU"/>
              </w:rPr>
              <w:t>42.34%</w:t>
            </w:r>
          </w:p>
        </w:tc>
        <w:tc>
          <w:tcPr>
            <w:tcW w:w="12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1D4DAF4" w14:textId="77777777" w:rsidR="00D20A89" w:rsidRPr="00D20A89" w:rsidRDefault="00D20A89" w:rsidP="005415B3">
            <w:pPr>
              <w:spacing w:line="240" w:lineRule="auto"/>
              <w:jc w:val="center"/>
              <w:rPr>
                <w:bCs/>
                <w:sz w:val="22"/>
                <w:lang w:val="en-ID"/>
              </w:rPr>
            </w:pPr>
            <w:r w:rsidRPr="00D20A89">
              <w:rPr>
                <w:sz w:val="22"/>
                <w:lang w:val="en-AU"/>
              </w:rPr>
              <w:t>42.34%</w:t>
            </w:r>
          </w:p>
        </w:tc>
        <w:tc>
          <w:tcPr>
            <w:tcW w:w="1418" w:type="dxa"/>
            <w:vMerge w:val="restart"/>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DE06EA0" w14:textId="77777777" w:rsidR="00D20A89" w:rsidRPr="00D20A89" w:rsidRDefault="00D20A89" w:rsidP="005415B3">
            <w:pPr>
              <w:spacing w:line="240" w:lineRule="auto"/>
              <w:jc w:val="center"/>
              <w:rPr>
                <w:bCs/>
                <w:sz w:val="22"/>
                <w:lang w:val="en-ID"/>
              </w:rPr>
            </w:pPr>
            <w:r w:rsidRPr="00D20A89">
              <w:rPr>
                <w:bCs/>
                <w:sz w:val="22"/>
                <w:lang w:val="en-ID"/>
              </w:rPr>
              <w:t>Prioritas</w:t>
            </w:r>
          </w:p>
        </w:tc>
      </w:tr>
      <w:tr w:rsidR="00D20A89" w:rsidRPr="00D20A89" w14:paraId="368F6D4A" w14:textId="77777777" w:rsidTr="00D20A89">
        <w:trPr>
          <w:trHeight w:val="300"/>
          <w:jc w:val="center"/>
        </w:trPr>
        <w:tc>
          <w:tcPr>
            <w:tcW w:w="69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526135D" w14:textId="77777777" w:rsidR="00D20A89" w:rsidRPr="00D20A89" w:rsidRDefault="00D20A89" w:rsidP="005415B3">
            <w:pPr>
              <w:spacing w:line="240" w:lineRule="auto"/>
              <w:jc w:val="center"/>
              <w:rPr>
                <w:bCs/>
                <w:sz w:val="22"/>
                <w:lang w:val="en-ID"/>
              </w:rPr>
            </w:pPr>
            <w:r w:rsidRPr="00D20A89">
              <w:rPr>
                <w:bCs/>
                <w:sz w:val="22"/>
                <w:lang w:val="en-ID"/>
              </w:rPr>
              <w:t>2</w:t>
            </w:r>
          </w:p>
        </w:tc>
        <w:tc>
          <w:tcPr>
            <w:tcW w:w="142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0C1A5EA" w14:textId="77777777" w:rsidR="00D20A89" w:rsidRPr="00D20A89" w:rsidRDefault="00D20A89" w:rsidP="005415B3">
            <w:pPr>
              <w:spacing w:line="240" w:lineRule="auto"/>
              <w:jc w:val="center"/>
              <w:rPr>
                <w:bCs/>
                <w:sz w:val="22"/>
                <w:lang w:val="en-ID"/>
              </w:rPr>
            </w:pPr>
            <w:r w:rsidRPr="00D20A89">
              <w:rPr>
                <w:bCs/>
                <w:sz w:val="22"/>
                <w:lang w:val="en-AU"/>
              </w:rPr>
              <w:t>A7</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006AE4A" w14:textId="77777777" w:rsidR="00D20A89" w:rsidRPr="00D20A89" w:rsidRDefault="00D20A89" w:rsidP="005415B3">
            <w:pPr>
              <w:spacing w:line="240" w:lineRule="auto"/>
              <w:jc w:val="center"/>
              <w:rPr>
                <w:bCs/>
                <w:sz w:val="22"/>
                <w:lang w:val="en-ID"/>
              </w:rPr>
            </w:pPr>
            <w:r w:rsidRPr="00D20A89">
              <w:rPr>
                <w:bCs/>
                <w:sz w:val="22"/>
                <w:lang w:val="en-AU"/>
              </w:rPr>
              <w:t>267</w:t>
            </w:r>
          </w:p>
        </w:tc>
        <w:tc>
          <w:tcPr>
            <w:tcW w:w="130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B593422" w14:textId="77777777" w:rsidR="00D20A89" w:rsidRPr="00D20A89" w:rsidRDefault="00D20A89" w:rsidP="005415B3">
            <w:pPr>
              <w:spacing w:line="240" w:lineRule="auto"/>
              <w:jc w:val="center"/>
              <w:rPr>
                <w:bCs/>
                <w:sz w:val="22"/>
                <w:lang w:val="en-ID"/>
              </w:rPr>
            </w:pPr>
            <w:r w:rsidRPr="00D20A89">
              <w:rPr>
                <w:sz w:val="22"/>
                <w:lang w:val="en-AU"/>
              </w:rPr>
              <w:t>26.73%</w:t>
            </w:r>
          </w:p>
        </w:tc>
        <w:tc>
          <w:tcPr>
            <w:tcW w:w="12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3831E1E1" w14:textId="77777777" w:rsidR="00D20A89" w:rsidRPr="00D20A89" w:rsidRDefault="00D20A89" w:rsidP="005415B3">
            <w:pPr>
              <w:spacing w:line="240" w:lineRule="auto"/>
              <w:jc w:val="center"/>
              <w:rPr>
                <w:bCs/>
                <w:sz w:val="22"/>
                <w:lang w:val="en-ID"/>
              </w:rPr>
            </w:pPr>
            <w:r w:rsidRPr="00D20A89">
              <w:rPr>
                <w:sz w:val="22"/>
                <w:lang w:val="en-AU"/>
              </w:rPr>
              <w:t>69.07%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3534C" w14:textId="77777777" w:rsidR="00D20A89" w:rsidRPr="00D20A89" w:rsidRDefault="00D20A89" w:rsidP="005415B3">
            <w:pPr>
              <w:spacing w:line="240" w:lineRule="auto"/>
              <w:jc w:val="center"/>
              <w:rPr>
                <w:bCs/>
                <w:sz w:val="22"/>
                <w:lang w:val="en-ID"/>
              </w:rPr>
            </w:pPr>
          </w:p>
        </w:tc>
      </w:tr>
      <w:tr w:rsidR="00D20A89" w:rsidRPr="00D20A89" w14:paraId="4C843CCA" w14:textId="77777777" w:rsidTr="00D20A89">
        <w:trPr>
          <w:trHeight w:val="300"/>
          <w:jc w:val="center"/>
        </w:trPr>
        <w:tc>
          <w:tcPr>
            <w:tcW w:w="69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7609244" w14:textId="77777777" w:rsidR="00D20A89" w:rsidRPr="00D20A89" w:rsidRDefault="00D20A89" w:rsidP="005415B3">
            <w:pPr>
              <w:spacing w:line="240" w:lineRule="auto"/>
              <w:jc w:val="center"/>
              <w:rPr>
                <w:bCs/>
                <w:sz w:val="22"/>
                <w:lang w:val="en-ID"/>
              </w:rPr>
            </w:pPr>
            <w:r w:rsidRPr="00D20A89">
              <w:rPr>
                <w:bCs/>
                <w:sz w:val="22"/>
                <w:lang w:val="en-ID"/>
              </w:rPr>
              <w:t>3</w:t>
            </w:r>
          </w:p>
        </w:tc>
        <w:tc>
          <w:tcPr>
            <w:tcW w:w="142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ED80124" w14:textId="77777777" w:rsidR="00D20A89" w:rsidRPr="00D20A89" w:rsidRDefault="00D20A89" w:rsidP="005415B3">
            <w:pPr>
              <w:spacing w:line="240" w:lineRule="auto"/>
              <w:jc w:val="center"/>
              <w:rPr>
                <w:bCs/>
                <w:sz w:val="22"/>
                <w:lang w:val="en-ID"/>
              </w:rPr>
            </w:pPr>
            <w:r w:rsidRPr="00D20A89">
              <w:rPr>
                <w:bCs/>
                <w:sz w:val="22"/>
                <w:lang w:val="en-AU"/>
              </w:rPr>
              <w:t>A5</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FB06BAB" w14:textId="77777777" w:rsidR="00D20A89" w:rsidRPr="00D20A89" w:rsidRDefault="00D20A89" w:rsidP="005415B3">
            <w:pPr>
              <w:spacing w:line="240" w:lineRule="auto"/>
              <w:jc w:val="center"/>
              <w:rPr>
                <w:bCs/>
                <w:sz w:val="22"/>
                <w:lang w:val="en-ID"/>
              </w:rPr>
            </w:pPr>
            <w:r w:rsidRPr="00D20A89">
              <w:rPr>
                <w:bCs/>
                <w:sz w:val="22"/>
                <w:lang w:val="en-AU"/>
              </w:rPr>
              <w:t>116</w:t>
            </w:r>
          </w:p>
        </w:tc>
        <w:tc>
          <w:tcPr>
            <w:tcW w:w="130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7E1F2B53" w14:textId="77777777" w:rsidR="00D20A89" w:rsidRPr="00D20A89" w:rsidRDefault="00D20A89" w:rsidP="005415B3">
            <w:pPr>
              <w:spacing w:line="240" w:lineRule="auto"/>
              <w:jc w:val="center"/>
              <w:rPr>
                <w:bCs/>
                <w:sz w:val="22"/>
                <w:lang w:val="en-ID"/>
              </w:rPr>
            </w:pPr>
            <w:r w:rsidRPr="00D20A89">
              <w:rPr>
                <w:sz w:val="22"/>
                <w:lang w:val="en-AU"/>
              </w:rPr>
              <w:t>11.61%</w:t>
            </w:r>
          </w:p>
        </w:tc>
        <w:tc>
          <w:tcPr>
            <w:tcW w:w="12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CCE15CD" w14:textId="77777777" w:rsidR="00D20A89" w:rsidRPr="00D20A89" w:rsidRDefault="00D20A89" w:rsidP="005415B3">
            <w:pPr>
              <w:spacing w:line="240" w:lineRule="auto"/>
              <w:jc w:val="center"/>
              <w:rPr>
                <w:bCs/>
                <w:sz w:val="22"/>
                <w:lang w:val="en-ID"/>
              </w:rPr>
            </w:pPr>
            <w:r w:rsidRPr="00D20A89">
              <w:rPr>
                <w:sz w:val="22"/>
                <w:lang w:val="en-AU"/>
              </w:rPr>
              <w:t>80.68%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71CAF" w14:textId="77777777" w:rsidR="00D20A89" w:rsidRPr="00D20A89" w:rsidRDefault="00D20A89" w:rsidP="005415B3">
            <w:pPr>
              <w:spacing w:line="240" w:lineRule="auto"/>
              <w:jc w:val="center"/>
              <w:rPr>
                <w:bCs/>
                <w:sz w:val="22"/>
                <w:lang w:val="en-ID"/>
              </w:rPr>
            </w:pPr>
          </w:p>
        </w:tc>
      </w:tr>
      <w:tr w:rsidR="00D20A89" w:rsidRPr="00D20A89" w14:paraId="5C3952BD" w14:textId="77777777" w:rsidTr="00D20A89">
        <w:trPr>
          <w:trHeight w:val="300"/>
          <w:jc w:val="center"/>
        </w:trPr>
        <w:tc>
          <w:tcPr>
            <w:tcW w:w="69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81CFBB6" w14:textId="77777777" w:rsidR="00D20A89" w:rsidRPr="00D20A89" w:rsidRDefault="00D20A89" w:rsidP="005415B3">
            <w:pPr>
              <w:spacing w:line="240" w:lineRule="auto"/>
              <w:jc w:val="center"/>
              <w:rPr>
                <w:bCs/>
                <w:sz w:val="22"/>
                <w:lang w:val="en-ID"/>
              </w:rPr>
            </w:pPr>
            <w:r w:rsidRPr="00D20A89">
              <w:rPr>
                <w:bCs/>
                <w:sz w:val="22"/>
                <w:lang w:val="en-ID"/>
              </w:rPr>
              <w:t>4</w:t>
            </w:r>
          </w:p>
        </w:tc>
        <w:tc>
          <w:tcPr>
            <w:tcW w:w="142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AF11EED" w14:textId="77777777" w:rsidR="00D20A89" w:rsidRPr="00D20A89" w:rsidRDefault="00D20A89" w:rsidP="005415B3">
            <w:pPr>
              <w:spacing w:line="240" w:lineRule="auto"/>
              <w:jc w:val="center"/>
              <w:rPr>
                <w:bCs/>
                <w:sz w:val="22"/>
                <w:lang w:val="en-ID"/>
              </w:rPr>
            </w:pPr>
            <w:r w:rsidRPr="00D20A89">
              <w:rPr>
                <w:bCs/>
                <w:sz w:val="22"/>
                <w:lang w:val="en-AU"/>
              </w:rPr>
              <w:t>A2</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F3C5192" w14:textId="77777777" w:rsidR="00D20A89" w:rsidRPr="00D20A89" w:rsidRDefault="00D20A89" w:rsidP="005415B3">
            <w:pPr>
              <w:spacing w:line="240" w:lineRule="auto"/>
              <w:jc w:val="center"/>
              <w:rPr>
                <w:bCs/>
                <w:sz w:val="22"/>
                <w:lang w:val="en-ID"/>
              </w:rPr>
            </w:pPr>
            <w:r w:rsidRPr="00D20A89">
              <w:rPr>
                <w:bCs/>
                <w:sz w:val="22"/>
                <w:lang w:val="en-AU"/>
              </w:rPr>
              <w:t>56</w:t>
            </w:r>
          </w:p>
        </w:tc>
        <w:tc>
          <w:tcPr>
            <w:tcW w:w="130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78124852" w14:textId="77777777" w:rsidR="00D20A89" w:rsidRPr="00D20A89" w:rsidRDefault="00D20A89" w:rsidP="005415B3">
            <w:pPr>
              <w:spacing w:line="240" w:lineRule="auto"/>
              <w:jc w:val="center"/>
              <w:rPr>
                <w:bCs/>
                <w:sz w:val="22"/>
                <w:lang w:val="en-ID"/>
              </w:rPr>
            </w:pPr>
            <w:r w:rsidRPr="00D20A89">
              <w:rPr>
                <w:sz w:val="22"/>
                <w:lang w:val="en-AU"/>
              </w:rPr>
              <w:t>5.61%</w:t>
            </w:r>
          </w:p>
        </w:tc>
        <w:tc>
          <w:tcPr>
            <w:tcW w:w="12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706D5C69" w14:textId="77777777" w:rsidR="00D20A89" w:rsidRPr="00D20A89" w:rsidRDefault="00D20A89" w:rsidP="005415B3">
            <w:pPr>
              <w:spacing w:line="240" w:lineRule="auto"/>
              <w:jc w:val="center"/>
              <w:rPr>
                <w:bCs/>
                <w:sz w:val="22"/>
                <w:lang w:val="en-ID"/>
              </w:rPr>
            </w:pPr>
            <w:r w:rsidRPr="00D20A89">
              <w:rPr>
                <w:sz w:val="22"/>
                <w:lang w:val="en-AU"/>
              </w:rPr>
              <w:t>86.29%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E7F1444" w14:textId="77777777" w:rsidR="00D20A89" w:rsidRPr="00D20A89" w:rsidRDefault="00D20A89" w:rsidP="005415B3">
            <w:pPr>
              <w:spacing w:line="240" w:lineRule="auto"/>
              <w:jc w:val="center"/>
              <w:rPr>
                <w:bCs/>
                <w:sz w:val="22"/>
                <w:lang w:val="en-ID"/>
              </w:rPr>
            </w:pPr>
            <w:r w:rsidRPr="00D20A89">
              <w:rPr>
                <w:bCs/>
                <w:sz w:val="22"/>
                <w:lang w:val="en-ID"/>
              </w:rPr>
              <w:t>Non-Prioritas</w:t>
            </w:r>
          </w:p>
        </w:tc>
      </w:tr>
      <w:tr w:rsidR="00D20A89" w:rsidRPr="00D20A89" w14:paraId="0DCE5781" w14:textId="77777777" w:rsidTr="00D20A89">
        <w:trPr>
          <w:trHeight w:val="315"/>
          <w:jc w:val="center"/>
        </w:trPr>
        <w:tc>
          <w:tcPr>
            <w:tcW w:w="69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E27F4EE" w14:textId="77777777" w:rsidR="00D20A89" w:rsidRPr="00D20A89" w:rsidRDefault="00D20A89" w:rsidP="005415B3">
            <w:pPr>
              <w:spacing w:line="240" w:lineRule="auto"/>
              <w:jc w:val="center"/>
              <w:rPr>
                <w:bCs/>
                <w:sz w:val="22"/>
                <w:lang w:val="en-ID"/>
              </w:rPr>
            </w:pPr>
            <w:r w:rsidRPr="00D20A89">
              <w:rPr>
                <w:bCs/>
                <w:sz w:val="22"/>
                <w:lang w:val="en-ID"/>
              </w:rPr>
              <w:t>5</w:t>
            </w:r>
          </w:p>
        </w:tc>
        <w:tc>
          <w:tcPr>
            <w:tcW w:w="142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DEC00E2" w14:textId="77777777" w:rsidR="00D20A89" w:rsidRPr="00D20A89" w:rsidRDefault="00D20A89" w:rsidP="005415B3">
            <w:pPr>
              <w:spacing w:line="240" w:lineRule="auto"/>
              <w:jc w:val="center"/>
              <w:rPr>
                <w:bCs/>
                <w:sz w:val="22"/>
                <w:lang w:val="en-ID"/>
              </w:rPr>
            </w:pPr>
            <w:r w:rsidRPr="00D20A89">
              <w:rPr>
                <w:bCs/>
                <w:sz w:val="22"/>
                <w:lang w:val="en-AU"/>
              </w:rPr>
              <w:t>A1</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1EAE7AB" w14:textId="77777777" w:rsidR="00D20A89" w:rsidRPr="00D20A89" w:rsidRDefault="00D20A89" w:rsidP="005415B3">
            <w:pPr>
              <w:spacing w:line="240" w:lineRule="auto"/>
              <w:jc w:val="center"/>
              <w:rPr>
                <w:bCs/>
                <w:sz w:val="22"/>
                <w:lang w:val="en-ID"/>
              </w:rPr>
            </w:pPr>
            <w:r w:rsidRPr="00D20A89">
              <w:rPr>
                <w:bCs/>
                <w:sz w:val="22"/>
                <w:lang w:val="en-AU"/>
              </w:rPr>
              <w:t>54</w:t>
            </w:r>
          </w:p>
        </w:tc>
        <w:tc>
          <w:tcPr>
            <w:tcW w:w="130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BC677D8" w14:textId="77777777" w:rsidR="00D20A89" w:rsidRPr="00D20A89" w:rsidRDefault="00D20A89" w:rsidP="005415B3">
            <w:pPr>
              <w:spacing w:line="240" w:lineRule="auto"/>
              <w:jc w:val="center"/>
              <w:rPr>
                <w:bCs/>
                <w:sz w:val="22"/>
                <w:lang w:val="en-ID"/>
              </w:rPr>
            </w:pPr>
            <w:r w:rsidRPr="00D20A89">
              <w:rPr>
                <w:sz w:val="22"/>
                <w:lang w:val="en-AU"/>
              </w:rPr>
              <w:t>5.41%</w:t>
            </w:r>
          </w:p>
        </w:tc>
        <w:tc>
          <w:tcPr>
            <w:tcW w:w="12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57F06273" w14:textId="77777777" w:rsidR="00D20A89" w:rsidRPr="00D20A89" w:rsidRDefault="00D20A89" w:rsidP="005415B3">
            <w:pPr>
              <w:spacing w:line="240" w:lineRule="auto"/>
              <w:jc w:val="center"/>
              <w:rPr>
                <w:bCs/>
                <w:sz w:val="22"/>
                <w:lang w:val="en-ID"/>
              </w:rPr>
            </w:pPr>
            <w:r w:rsidRPr="00D20A89">
              <w:rPr>
                <w:sz w:val="22"/>
                <w:lang w:val="en-AU"/>
              </w:rPr>
              <w:t>91.69%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DAC78" w14:textId="77777777" w:rsidR="00D20A89" w:rsidRPr="00D20A89" w:rsidRDefault="00D20A89" w:rsidP="005415B3">
            <w:pPr>
              <w:spacing w:line="240" w:lineRule="auto"/>
              <w:jc w:val="center"/>
              <w:rPr>
                <w:bCs/>
                <w:sz w:val="22"/>
                <w:lang w:val="en-ID"/>
              </w:rPr>
            </w:pPr>
          </w:p>
        </w:tc>
      </w:tr>
      <w:tr w:rsidR="00D20A89" w:rsidRPr="00D20A89" w14:paraId="6573D348" w14:textId="77777777" w:rsidTr="00D20A89">
        <w:trPr>
          <w:trHeight w:val="300"/>
          <w:jc w:val="center"/>
        </w:trPr>
        <w:tc>
          <w:tcPr>
            <w:tcW w:w="69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FFFB685" w14:textId="77777777" w:rsidR="00D20A89" w:rsidRPr="00D20A89" w:rsidRDefault="00D20A89" w:rsidP="005415B3">
            <w:pPr>
              <w:spacing w:line="240" w:lineRule="auto"/>
              <w:jc w:val="center"/>
              <w:rPr>
                <w:bCs/>
                <w:sz w:val="22"/>
                <w:lang w:val="en-ID"/>
              </w:rPr>
            </w:pPr>
            <w:r w:rsidRPr="00D20A89">
              <w:rPr>
                <w:bCs/>
                <w:sz w:val="22"/>
                <w:lang w:val="en-ID"/>
              </w:rPr>
              <w:t>6</w:t>
            </w:r>
          </w:p>
        </w:tc>
        <w:tc>
          <w:tcPr>
            <w:tcW w:w="142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009F12B" w14:textId="77777777" w:rsidR="00D20A89" w:rsidRPr="00D20A89" w:rsidRDefault="00D20A89" w:rsidP="005415B3">
            <w:pPr>
              <w:spacing w:line="240" w:lineRule="auto"/>
              <w:jc w:val="center"/>
              <w:rPr>
                <w:bCs/>
                <w:sz w:val="22"/>
                <w:lang w:val="en-ID"/>
              </w:rPr>
            </w:pPr>
            <w:r w:rsidRPr="00D20A89">
              <w:rPr>
                <w:bCs/>
                <w:sz w:val="22"/>
                <w:lang w:val="en-AU"/>
              </w:rPr>
              <w:t>A6</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875EB32" w14:textId="77777777" w:rsidR="00D20A89" w:rsidRPr="00D20A89" w:rsidRDefault="00D20A89" w:rsidP="005415B3">
            <w:pPr>
              <w:spacing w:line="240" w:lineRule="auto"/>
              <w:jc w:val="center"/>
              <w:rPr>
                <w:bCs/>
                <w:sz w:val="22"/>
                <w:lang w:val="en-ID"/>
              </w:rPr>
            </w:pPr>
            <w:r w:rsidRPr="00D20A89">
              <w:rPr>
                <w:bCs/>
                <w:sz w:val="22"/>
                <w:lang w:val="en-AU"/>
              </w:rPr>
              <w:t>51</w:t>
            </w:r>
          </w:p>
        </w:tc>
        <w:tc>
          <w:tcPr>
            <w:tcW w:w="130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ECC9835" w14:textId="77777777" w:rsidR="00D20A89" w:rsidRPr="00D20A89" w:rsidRDefault="00D20A89" w:rsidP="005415B3">
            <w:pPr>
              <w:spacing w:line="240" w:lineRule="auto"/>
              <w:jc w:val="center"/>
              <w:rPr>
                <w:bCs/>
                <w:sz w:val="22"/>
                <w:lang w:val="en-ID"/>
              </w:rPr>
            </w:pPr>
            <w:r w:rsidRPr="00D20A89">
              <w:rPr>
                <w:sz w:val="22"/>
                <w:lang w:val="en-AU"/>
              </w:rPr>
              <w:t>5.11%</w:t>
            </w:r>
          </w:p>
        </w:tc>
        <w:tc>
          <w:tcPr>
            <w:tcW w:w="12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9F80831" w14:textId="77777777" w:rsidR="00D20A89" w:rsidRPr="00D20A89" w:rsidRDefault="00D20A89" w:rsidP="005415B3">
            <w:pPr>
              <w:spacing w:line="240" w:lineRule="auto"/>
              <w:jc w:val="center"/>
              <w:rPr>
                <w:bCs/>
                <w:sz w:val="22"/>
                <w:lang w:val="en-ID"/>
              </w:rPr>
            </w:pPr>
            <w:r w:rsidRPr="00D20A89">
              <w:rPr>
                <w:sz w:val="22"/>
                <w:lang w:val="en-AU"/>
              </w:rPr>
              <w:t>96.80%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EF898" w14:textId="77777777" w:rsidR="00D20A89" w:rsidRPr="00D20A89" w:rsidRDefault="00D20A89" w:rsidP="005415B3">
            <w:pPr>
              <w:spacing w:line="240" w:lineRule="auto"/>
              <w:jc w:val="center"/>
              <w:rPr>
                <w:bCs/>
                <w:sz w:val="22"/>
                <w:lang w:val="en-ID"/>
              </w:rPr>
            </w:pPr>
          </w:p>
        </w:tc>
      </w:tr>
      <w:tr w:rsidR="00D20A89" w:rsidRPr="00D20A89" w14:paraId="5EBED19D" w14:textId="77777777" w:rsidTr="00D20A89">
        <w:trPr>
          <w:trHeight w:val="300"/>
          <w:jc w:val="center"/>
        </w:trPr>
        <w:tc>
          <w:tcPr>
            <w:tcW w:w="69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77D58DC" w14:textId="77777777" w:rsidR="00D20A89" w:rsidRPr="00D20A89" w:rsidRDefault="00D20A89" w:rsidP="005415B3">
            <w:pPr>
              <w:spacing w:line="240" w:lineRule="auto"/>
              <w:jc w:val="center"/>
              <w:rPr>
                <w:bCs/>
                <w:sz w:val="22"/>
                <w:lang w:val="en-ID"/>
              </w:rPr>
            </w:pPr>
            <w:r w:rsidRPr="00D20A89">
              <w:rPr>
                <w:bCs/>
                <w:sz w:val="22"/>
                <w:lang w:val="en-ID"/>
              </w:rPr>
              <w:t>7</w:t>
            </w:r>
          </w:p>
        </w:tc>
        <w:tc>
          <w:tcPr>
            <w:tcW w:w="142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EC6B263" w14:textId="77777777" w:rsidR="00D20A89" w:rsidRPr="00D20A89" w:rsidRDefault="00D20A89" w:rsidP="005415B3">
            <w:pPr>
              <w:spacing w:line="240" w:lineRule="auto"/>
              <w:jc w:val="center"/>
              <w:rPr>
                <w:bCs/>
                <w:sz w:val="22"/>
                <w:lang w:val="en-ID"/>
              </w:rPr>
            </w:pPr>
            <w:r w:rsidRPr="00D20A89">
              <w:rPr>
                <w:bCs/>
                <w:sz w:val="22"/>
                <w:lang w:val="en-AU"/>
              </w:rPr>
              <w:t>A4</w:t>
            </w:r>
          </w:p>
        </w:tc>
        <w:tc>
          <w:tcPr>
            <w:tcW w:w="99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7B637DC" w14:textId="77777777" w:rsidR="00D20A89" w:rsidRPr="00D20A89" w:rsidRDefault="00D20A89" w:rsidP="005415B3">
            <w:pPr>
              <w:spacing w:line="240" w:lineRule="auto"/>
              <w:jc w:val="center"/>
              <w:rPr>
                <w:bCs/>
                <w:sz w:val="22"/>
                <w:lang w:val="en-ID"/>
              </w:rPr>
            </w:pPr>
            <w:r w:rsidRPr="00D20A89">
              <w:rPr>
                <w:bCs/>
                <w:sz w:val="22"/>
                <w:lang w:val="en-AU"/>
              </w:rPr>
              <w:t>32</w:t>
            </w:r>
          </w:p>
        </w:tc>
        <w:tc>
          <w:tcPr>
            <w:tcW w:w="1309"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489E018" w14:textId="77777777" w:rsidR="00D20A89" w:rsidRPr="00D20A89" w:rsidRDefault="00D20A89" w:rsidP="005415B3">
            <w:pPr>
              <w:spacing w:line="240" w:lineRule="auto"/>
              <w:jc w:val="center"/>
              <w:rPr>
                <w:bCs/>
                <w:sz w:val="22"/>
                <w:lang w:val="en-ID"/>
              </w:rPr>
            </w:pPr>
            <w:r w:rsidRPr="00D20A89">
              <w:rPr>
                <w:sz w:val="22"/>
                <w:lang w:val="en-AU"/>
              </w:rPr>
              <w:t>3.20%</w:t>
            </w:r>
          </w:p>
        </w:tc>
        <w:tc>
          <w:tcPr>
            <w:tcW w:w="1283"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5866C538" w14:textId="77777777" w:rsidR="00D20A89" w:rsidRPr="00D20A89" w:rsidRDefault="00D20A89" w:rsidP="005415B3">
            <w:pPr>
              <w:spacing w:line="240" w:lineRule="auto"/>
              <w:jc w:val="center"/>
              <w:rPr>
                <w:bCs/>
                <w:sz w:val="22"/>
                <w:lang w:val="en-ID"/>
              </w:rPr>
            </w:pPr>
            <w:r w:rsidRPr="00D20A89">
              <w:rPr>
                <w:sz w:val="22"/>
                <w:lang w:val="en-AU"/>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8E0A3" w14:textId="77777777" w:rsidR="00D20A89" w:rsidRPr="00D20A89" w:rsidRDefault="00D20A89" w:rsidP="005415B3">
            <w:pPr>
              <w:spacing w:line="240" w:lineRule="auto"/>
              <w:jc w:val="center"/>
              <w:rPr>
                <w:bCs/>
                <w:sz w:val="22"/>
                <w:lang w:val="en-ID"/>
              </w:rPr>
            </w:pPr>
          </w:p>
        </w:tc>
      </w:tr>
    </w:tbl>
    <w:p w14:paraId="597C4C60" w14:textId="77777777" w:rsidR="00D20A89" w:rsidRPr="00D20A89" w:rsidRDefault="00D20A89" w:rsidP="005415B3">
      <w:pPr>
        <w:spacing w:line="240" w:lineRule="auto"/>
        <w:jc w:val="center"/>
        <w:rPr>
          <w:b/>
          <w:bCs/>
          <w:sz w:val="22"/>
          <w:lang w:val="en-ID"/>
        </w:rPr>
      </w:pPr>
    </w:p>
    <w:p w14:paraId="3A8074D2" w14:textId="77777777" w:rsidR="005415B3" w:rsidRDefault="005415B3" w:rsidP="00F136C1">
      <w:pPr>
        <w:spacing w:line="240" w:lineRule="auto"/>
        <w:ind w:firstLine="720"/>
        <w:jc w:val="both"/>
        <w:rPr>
          <w:sz w:val="22"/>
          <w:lang w:val="id-ID"/>
        </w:rPr>
        <w:sectPr w:rsidR="005415B3" w:rsidSect="005415B3">
          <w:type w:val="continuous"/>
          <w:pgSz w:w="11907" w:h="16840" w:code="9"/>
          <w:pgMar w:top="1440" w:right="1440" w:bottom="1440" w:left="1440" w:header="720" w:footer="720" w:gutter="0"/>
          <w:cols w:space="708"/>
          <w:docGrid w:linePitch="360"/>
        </w:sectPr>
      </w:pPr>
    </w:p>
    <w:p w14:paraId="57953C82" w14:textId="77777777" w:rsidR="00887C5B" w:rsidRPr="002D22A2" w:rsidRDefault="00887C5B" w:rsidP="00887C5B">
      <w:pPr>
        <w:spacing w:line="240" w:lineRule="auto"/>
        <w:jc w:val="both"/>
        <w:rPr>
          <w:b/>
          <w:bCs/>
          <w:sz w:val="22"/>
          <w:lang w:val="id-ID"/>
        </w:rPr>
      </w:pPr>
      <w:r w:rsidRPr="002D22A2">
        <w:rPr>
          <w:b/>
          <w:bCs/>
          <w:sz w:val="22"/>
          <w:lang w:val="id-ID"/>
        </w:rPr>
        <w:t>5. KESIMPULAN</w:t>
      </w:r>
    </w:p>
    <w:p w14:paraId="17C208A4" w14:textId="160C6587" w:rsidR="00887C5B" w:rsidRDefault="00D20A89" w:rsidP="00D20A89">
      <w:pPr>
        <w:spacing w:line="240" w:lineRule="auto"/>
        <w:ind w:firstLine="720"/>
        <w:jc w:val="both"/>
        <w:rPr>
          <w:sz w:val="22"/>
        </w:rPr>
      </w:pPr>
      <w:r w:rsidRPr="00D20A89">
        <w:rPr>
          <w:sz w:val="22"/>
        </w:rPr>
        <w:t>Berdasarkan hasil penelitian yang telah dilakukan, terdapat 3 sumber risiko yang menjadi prioritas untuk dilakukan mitigasi. Diantaranya Human Erorr (A3) dengan nilai ARP sebesar 423, Kualitas Bibit/material yang buruk (A7) dengan nilai ARP sebesar 267, Gangguan transportasi (A9) dengan nilai ARP sebesar 116.</w:t>
      </w:r>
    </w:p>
    <w:p w14:paraId="749FB133" w14:textId="16829866" w:rsidR="000F7F53" w:rsidRDefault="000F7F53" w:rsidP="00D20A89">
      <w:pPr>
        <w:spacing w:line="240" w:lineRule="auto"/>
        <w:ind w:firstLine="720"/>
        <w:jc w:val="both"/>
        <w:rPr>
          <w:sz w:val="22"/>
        </w:rPr>
      </w:pPr>
    </w:p>
    <w:p w14:paraId="2B1D3CC6" w14:textId="7602B48E" w:rsidR="000F7F53" w:rsidRDefault="000F7F53" w:rsidP="00D20A89">
      <w:pPr>
        <w:spacing w:line="240" w:lineRule="auto"/>
        <w:ind w:firstLine="720"/>
        <w:jc w:val="both"/>
        <w:rPr>
          <w:sz w:val="22"/>
        </w:rPr>
      </w:pPr>
    </w:p>
    <w:p w14:paraId="60D597DB" w14:textId="283BE5EE" w:rsidR="000F7F53" w:rsidRDefault="000F7F53" w:rsidP="00D20A89">
      <w:pPr>
        <w:spacing w:line="240" w:lineRule="auto"/>
        <w:ind w:firstLine="720"/>
        <w:jc w:val="both"/>
        <w:rPr>
          <w:sz w:val="22"/>
        </w:rPr>
      </w:pPr>
    </w:p>
    <w:p w14:paraId="1CF0B1EE" w14:textId="77777777" w:rsidR="000F7F53" w:rsidRDefault="000F7F53" w:rsidP="00D20A89">
      <w:pPr>
        <w:spacing w:line="240" w:lineRule="auto"/>
        <w:ind w:firstLine="720"/>
        <w:jc w:val="both"/>
        <w:rPr>
          <w:sz w:val="22"/>
        </w:rPr>
      </w:pPr>
    </w:p>
    <w:p w14:paraId="3253911E" w14:textId="77777777" w:rsidR="005415B3" w:rsidRPr="002D22A2" w:rsidRDefault="005415B3" w:rsidP="00D20A89">
      <w:pPr>
        <w:spacing w:line="240" w:lineRule="auto"/>
        <w:ind w:firstLine="720"/>
        <w:jc w:val="both"/>
        <w:rPr>
          <w:sz w:val="22"/>
          <w:lang w:val="id-ID"/>
        </w:rPr>
      </w:pPr>
    </w:p>
    <w:p w14:paraId="09D24204" w14:textId="77777777" w:rsidR="00887C5B" w:rsidRPr="002D22A2" w:rsidRDefault="00887C5B" w:rsidP="00887C5B">
      <w:pPr>
        <w:spacing w:line="240" w:lineRule="auto"/>
        <w:rPr>
          <w:b/>
          <w:bCs/>
          <w:sz w:val="22"/>
          <w:lang w:val="id-ID"/>
        </w:rPr>
      </w:pPr>
      <w:r w:rsidRPr="002D22A2">
        <w:rPr>
          <w:b/>
          <w:bCs/>
          <w:sz w:val="22"/>
          <w:lang w:val="id-ID"/>
        </w:rPr>
        <w:t>UCAPAN TERIMA KASIH</w:t>
      </w:r>
    </w:p>
    <w:p w14:paraId="15A17B35" w14:textId="5928A7BD" w:rsidR="00887C5B" w:rsidRDefault="00887C5B" w:rsidP="00D20A89">
      <w:pPr>
        <w:spacing w:line="240" w:lineRule="auto"/>
        <w:jc w:val="both"/>
        <w:rPr>
          <w:sz w:val="22"/>
        </w:rPr>
      </w:pPr>
      <w:r w:rsidRPr="002D22A2">
        <w:rPr>
          <w:sz w:val="22"/>
          <w:lang w:val="id-ID"/>
        </w:rPr>
        <w:tab/>
      </w:r>
      <w:r w:rsidR="00D20A89" w:rsidRPr="00D20A89">
        <w:rPr>
          <w:sz w:val="22"/>
        </w:rPr>
        <w:t>Ucapan terimakasih penulis haturkan pada LPPPM ITERA yang telang mendukung penelitian ini melalui Program Penelitian Hibah Mandiri ITERA</w:t>
      </w:r>
      <w:r w:rsidR="00D20A89">
        <w:rPr>
          <w:sz w:val="22"/>
        </w:rPr>
        <w:t>.</w:t>
      </w:r>
    </w:p>
    <w:p w14:paraId="07B7D914" w14:textId="77777777" w:rsidR="00D20A89" w:rsidRPr="00D20A89" w:rsidRDefault="00D20A89" w:rsidP="00D20A89">
      <w:pPr>
        <w:spacing w:line="240" w:lineRule="auto"/>
        <w:jc w:val="both"/>
        <w:rPr>
          <w:sz w:val="22"/>
          <w:lang w:val="id-ID"/>
        </w:rPr>
      </w:pPr>
    </w:p>
    <w:p w14:paraId="6F005A2C" w14:textId="77777777" w:rsidR="00887C5B" w:rsidRPr="002D22A2" w:rsidRDefault="00887C5B" w:rsidP="00887C5B">
      <w:pPr>
        <w:spacing w:line="240" w:lineRule="auto"/>
        <w:rPr>
          <w:b/>
          <w:bCs/>
          <w:sz w:val="22"/>
          <w:lang w:val="id-ID"/>
        </w:rPr>
      </w:pPr>
      <w:r w:rsidRPr="002D22A2">
        <w:rPr>
          <w:b/>
          <w:bCs/>
          <w:sz w:val="22"/>
          <w:lang w:val="id-ID"/>
        </w:rPr>
        <w:t>DAFTAR PUSTAKA</w:t>
      </w:r>
    </w:p>
    <w:tbl>
      <w:tblPr>
        <w:tblW w:w="5000" w:type="pct"/>
        <w:tblCellSpacing w:w="15" w:type="dxa"/>
        <w:tblLook w:val="04A0" w:firstRow="1" w:lastRow="0" w:firstColumn="1" w:lastColumn="0" w:noHBand="0" w:noVBand="1"/>
      </w:tblPr>
      <w:tblGrid>
        <w:gridCol w:w="475"/>
        <w:gridCol w:w="3684"/>
      </w:tblGrid>
      <w:tr w:rsidR="00D20A89" w14:paraId="41A177B9" w14:textId="77777777" w:rsidTr="00D20A89">
        <w:trPr>
          <w:tblCellSpacing w:w="15" w:type="dxa"/>
        </w:trPr>
        <w:tc>
          <w:tcPr>
            <w:tcW w:w="50" w:type="pct"/>
            <w:tcMar>
              <w:top w:w="15" w:type="dxa"/>
              <w:left w:w="15" w:type="dxa"/>
              <w:bottom w:w="15" w:type="dxa"/>
              <w:right w:w="15" w:type="dxa"/>
            </w:tcMar>
            <w:hideMark/>
          </w:tcPr>
          <w:p w14:paraId="1D649F13" w14:textId="77777777" w:rsidR="00D20A89" w:rsidRDefault="00D20A89">
            <w:pPr>
              <w:pStyle w:val="Bibliography"/>
              <w:rPr>
                <w:noProof/>
                <w:lang w:val="id-ID" w:eastAsia="id-ID"/>
              </w:rPr>
            </w:pPr>
            <w:bookmarkStart w:id="3" w:name="_GoBack"/>
            <w:r>
              <w:rPr>
                <w:noProof/>
                <w:lang w:val="id-ID" w:eastAsia="id-ID"/>
              </w:rPr>
              <w:t xml:space="preserve">[1] </w:t>
            </w:r>
          </w:p>
        </w:tc>
        <w:tc>
          <w:tcPr>
            <w:tcW w:w="0" w:type="auto"/>
            <w:tcMar>
              <w:top w:w="15" w:type="dxa"/>
              <w:left w:w="15" w:type="dxa"/>
              <w:bottom w:w="15" w:type="dxa"/>
              <w:right w:w="15" w:type="dxa"/>
            </w:tcMar>
            <w:hideMark/>
          </w:tcPr>
          <w:p w14:paraId="38376EC6" w14:textId="4A96085D" w:rsidR="00D20A89" w:rsidRDefault="00D20A89" w:rsidP="005415B3">
            <w:pPr>
              <w:pStyle w:val="Bibliography"/>
              <w:rPr>
                <w:noProof/>
                <w:lang w:val="id-ID" w:eastAsia="id-ID"/>
              </w:rPr>
            </w:pPr>
            <w:r>
              <w:rPr>
                <w:noProof/>
                <w:lang w:val="id-ID" w:eastAsia="id-ID"/>
              </w:rPr>
              <w:t>K</w:t>
            </w:r>
            <w:r w:rsidR="005415B3">
              <w:rPr>
                <w:noProof/>
                <w:lang w:val="en-ID" w:eastAsia="id-ID"/>
              </w:rPr>
              <w:t>ementerian</w:t>
            </w:r>
            <w:r>
              <w:rPr>
                <w:noProof/>
                <w:lang w:val="id-ID" w:eastAsia="id-ID"/>
              </w:rPr>
              <w:t xml:space="preserve"> Pertanian, “Rencana Strategis Direktorat Jenderal Tanaman Pangan Tahun 2015-2019,” Kementerian Pertanian, Jakarta, 2015.</w:t>
            </w:r>
          </w:p>
        </w:tc>
      </w:tr>
      <w:tr w:rsidR="00D20A89" w14:paraId="544CA37F" w14:textId="77777777" w:rsidTr="00D20A89">
        <w:trPr>
          <w:tblCellSpacing w:w="15" w:type="dxa"/>
        </w:trPr>
        <w:tc>
          <w:tcPr>
            <w:tcW w:w="50" w:type="pct"/>
            <w:tcMar>
              <w:top w:w="15" w:type="dxa"/>
              <w:left w:w="15" w:type="dxa"/>
              <w:bottom w:w="15" w:type="dxa"/>
              <w:right w:w="15" w:type="dxa"/>
            </w:tcMar>
            <w:hideMark/>
          </w:tcPr>
          <w:p w14:paraId="6A7ACD38" w14:textId="77777777" w:rsidR="00D20A89" w:rsidRDefault="00D20A89">
            <w:pPr>
              <w:pStyle w:val="Bibliography"/>
              <w:rPr>
                <w:noProof/>
                <w:lang w:val="id-ID" w:eastAsia="id-ID"/>
              </w:rPr>
            </w:pPr>
            <w:r>
              <w:rPr>
                <w:noProof/>
                <w:lang w:val="id-ID" w:eastAsia="id-ID"/>
              </w:rPr>
              <w:lastRenderedPageBreak/>
              <w:t xml:space="preserve">[2] </w:t>
            </w:r>
          </w:p>
        </w:tc>
        <w:tc>
          <w:tcPr>
            <w:tcW w:w="0" w:type="auto"/>
            <w:tcMar>
              <w:top w:w="15" w:type="dxa"/>
              <w:left w:w="15" w:type="dxa"/>
              <w:bottom w:w="15" w:type="dxa"/>
              <w:right w:w="15" w:type="dxa"/>
            </w:tcMar>
            <w:hideMark/>
          </w:tcPr>
          <w:p w14:paraId="041FD575" w14:textId="473CB8EA" w:rsidR="00D20A89" w:rsidRDefault="005415B3">
            <w:pPr>
              <w:pStyle w:val="Bibliography"/>
              <w:rPr>
                <w:noProof/>
                <w:lang w:val="id-ID" w:eastAsia="id-ID"/>
              </w:rPr>
            </w:pPr>
            <w:r>
              <w:rPr>
                <w:noProof/>
                <w:lang w:val="en-ID" w:eastAsia="id-ID"/>
              </w:rPr>
              <w:t>Pusat Data Kementerian</w:t>
            </w:r>
            <w:r w:rsidR="00D20A89">
              <w:rPr>
                <w:noProof/>
                <w:lang w:val="id-ID" w:eastAsia="id-ID"/>
              </w:rPr>
              <w:t xml:space="preserve"> Pertanian, “Outlook Bawang Merah,” Kementerian Pertanian, Jakarta, 2016.</w:t>
            </w:r>
          </w:p>
        </w:tc>
      </w:tr>
      <w:tr w:rsidR="00D20A89" w14:paraId="1C20A625" w14:textId="77777777" w:rsidTr="00D20A89">
        <w:trPr>
          <w:tblCellSpacing w:w="15" w:type="dxa"/>
        </w:trPr>
        <w:tc>
          <w:tcPr>
            <w:tcW w:w="50" w:type="pct"/>
            <w:tcMar>
              <w:top w:w="15" w:type="dxa"/>
              <w:left w:w="15" w:type="dxa"/>
              <w:bottom w:w="15" w:type="dxa"/>
              <w:right w:w="15" w:type="dxa"/>
            </w:tcMar>
            <w:hideMark/>
          </w:tcPr>
          <w:p w14:paraId="1B292F9B" w14:textId="77777777" w:rsidR="00D20A89" w:rsidRDefault="00D20A89">
            <w:pPr>
              <w:pStyle w:val="Bibliography"/>
              <w:rPr>
                <w:noProof/>
                <w:lang w:val="id-ID" w:eastAsia="id-ID"/>
              </w:rPr>
            </w:pPr>
            <w:r>
              <w:rPr>
                <w:noProof/>
                <w:lang w:val="id-ID" w:eastAsia="id-ID"/>
              </w:rPr>
              <w:t xml:space="preserve">[3] </w:t>
            </w:r>
          </w:p>
        </w:tc>
        <w:tc>
          <w:tcPr>
            <w:tcW w:w="0" w:type="auto"/>
            <w:tcMar>
              <w:top w:w="15" w:type="dxa"/>
              <w:left w:w="15" w:type="dxa"/>
              <w:bottom w:w="15" w:type="dxa"/>
              <w:right w:w="15" w:type="dxa"/>
            </w:tcMar>
            <w:hideMark/>
          </w:tcPr>
          <w:p w14:paraId="16141970" w14:textId="366AEE53" w:rsidR="00D20A89" w:rsidRDefault="00D20A89" w:rsidP="005415B3">
            <w:pPr>
              <w:pStyle w:val="Bibliography"/>
              <w:rPr>
                <w:noProof/>
                <w:lang w:val="id-ID" w:eastAsia="id-ID"/>
              </w:rPr>
            </w:pPr>
            <w:r>
              <w:rPr>
                <w:noProof/>
                <w:lang w:val="id-ID" w:eastAsia="id-ID"/>
              </w:rPr>
              <w:t>P</w:t>
            </w:r>
            <w:r w:rsidR="005415B3">
              <w:rPr>
                <w:noProof/>
                <w:lang w:val="en-ID" w:eastAsia="id-ID"/>
              </w:rPr>
              <w:t>emprov</w:t>
            </w:r>
            <w:r>
              <w:rPr>
                <w:noProof/>
                <w:lang w:val="id-ID" w:eastAsia="id-ID"/>
              </w:rPr>
              <w:t xml:space="preserve"> Lampung, “Rencana Pembanguan Industri Provinsi,” Pemerintah Provinsi Lampung, Bandar Lampung, 2017.</w:t>
            </w:r>
          </w:p>
        </w:tc>
      </w:tr>
      <w:tr w:rsidR="00D20A89" w14:paraId="0D4E9A33" w14:textId="77777777" w:rsidTr="00D20A89">
        <w:trPr>
          <w:tblCellSpacing w:w="15" w:type="dxa"/>
        </w:trPr>
        <w:tc>
          <w:tcPr>
            <w:tcW w:w="50" w:type="pct"/>
            <w:tcMar>
              <w:top w:w="15" w:type="dxa"/>
              <w:left w:w="15" w:type="dxa"/>
              <w:bottom w:w="15" w:type="dxa"/>
              <w:right w:w="15" w:type="dxa"/>
            </w:tcMar>
            <w:hideMark/>
          </w:tcPr>
          <w:p w14:paraId="2B92A5B8" w14:textId="77777777" w:rsidR="00D20A89" w:rsidRDefault="00D20A89">
            <w:pPr>
              <w:pStyle w:val="Bibliography"/>
              <w:rPr>
                <w:noProof/>
                <w:lang w:val="id-ID" w:eastAsia="id-ID"/>
              </w:rPr>
            </w:pPr>
            <w:r>
              <w:rPr>
                <w:noProof/>
                <w:lang w:val="id-ID" w:eastAsia="id-ID"/>
              </w:rPr>
              <w:t xml:space="preserve">[4] </w:t>
            </w:r>
          </w:p>
        </w:tc>
        <w:tc>
          <w:tcPr>
            <w:tcW w:w="0" w:type="auto"/>
            <w:tcMar>
              <w:top w:w="15" w:type="dxa"/>
              <w:left w:w="15" w:type="dxa"/>
              <w:bottom w:w="15" w:type="dxa"/>
              <w:right w:w="15" w:type="dxa"/>
            </w:tcMar>
            <w:hideMark/>
          </w:tcPr>
          <w:p w14:paraId="33EC5A3D" w14:textId="7D6DDB72" w:rsidR="00D20A89" w:rsidRDefault="00D20A89">
            <w:pPr>
              <w:pStyle w:val="Bibliography"/>
              <w:rPr>
                <w:noProof/>
                <w:lang w:val="id-ID" w:eastAsia="id-ID"/>
              </w:rPr>
            </w:pPr>
            <w:r>
              <w:rPr>
                <w:noProof/>
                <w:lang w:val="id-ID" w:eastAsia="id-ID"/>
              </w:rPr>
              <w:t xml:space="preserve">G. H. Darkow, “Sustainability in food service supply chains: future expectations from European industry experts toward the environmental perspective,” </w:t>
            </w:r>
            <w:r>
              <w:rPr>
                <w:i/>
                <w:iCs/>
                <w:noProof/>
                <w:lang w:val="id-ID" w:eastAsia="id-ID"/>
              </w:rPr>
              <w:t xml:space="preserve">Supply Chain Management: An International Journal, </w:t>
            </w:r>
            <w:r>
              <w:rPr>
                <w:noProof/>
                <w:lang w:val="id-ID" w:eastAsia="id-ID"/>
              </w:rPr>
              <w:t xml:space="preserve">vol. 20, no. 2, pp. 163-178, 2015. </w:t>
            </w:r>
          </w:p>
        </w:tc>
      </w:tr>
      <w:tr w:rsidR="00D20A89" w14:paraId="62778098" w14:textId="77777777" w:rsidTr="00D20A89">
        <w:trPr>
          <w:tblCellSpacing w:w="15" w:type="dxa"/>
        </w:trPr>
        <w:tc>
          <w:tcPr>
            <w:tcW w:w="50" w:type="pct"/>
            <w:tcMar>
              <w:top w:w="15" w:type="dxa"/>
              <w:left w:w="15" w:type="dxa"/>
              <w:bottom w:w="15" w:type="dxa"/>
              <w:right w:w="15" w:type="dxa"/>
            </w:tcMar>
            <w:hideMark/>
          </w:tcPr>
          <w:p w14:paraId="1B7E474F" w14:textId="77777777" w:rsidR="00D20A89" w:rsidRDefault="00D20A89">
            <w:pPr>
              <w:pStyle w:val="Bibliography"/>
              <w:rPr>
                <w:noProof/>
                <w:lang w:val="id-ID" w:eastAsia="id-ID"/>
              </w:rPr>
            </w:pPr>
            <w:r>
              <w:rPr>
                <w:noProof/>
                <w:lang w:val="id-ID" w:eastAsia="id-ID"/>
              </w:rPr>
              <w:t xml:space="preserve">[5] </w:t>
            </w:r>
          </w:p>
        </w:tc>
        <w:tc>
          <w:tcPr>
            <w:tcW w:w="0" w:type="auto"/>
            <w:tcMar>
              <w:top w:w="15" w:type="dxa"/>
              <w:left w:w="15" w:type="dxa"/>
              <w:bottom w:w="15" w:type="dxa"/>
              <w:right w:w="15" w:type="dxa"/>
            </w:tcMar>
            <w:hideMark/>
          </w:tcPr>
          <w:p w14:paraId="56825EB1" w14:textId="77777777" w:rsidR="00D20A89" w:rsidRDefault="00D20A89">
            <w:pPr>
              <w:pStyle w:val="Bibliography"/>
              <w:rPr>
                <w:noProof/>
                <w:lang w:val="id-ID" w:eastAsia="id-ID"/>
              </w:rPr>
            </w:pPr>
            <w:r>
              <w:rPr>
                <w:noProof/>
                <w:lang w:val="id-ID" w:eastAsia="id-ID"/>
              </w:rPr>
              <w:t xml:space="preserve">A. D. S. a. K. R. Ghadge, “Supply chain risk management: present and future scope,” </w:t>
            </w:r>
            <w:r>
              <w:rPr>
                <w:i/>
                <w:iCs/>
                <w:noProof/>
                <w:lang w:val="id-ID" w:eastAsia="id-ID"/>
              </w:rPr>
              <w:t xml:space="preserve">The International Journal of Logistics Management, </w:t>
            </w:r>
            <w:r>
              <w:rPr>
                <w:noProof/>
                <w:lang w:val="id-ID" w:eastAsia="id-ID"/>
              </w:rPr>
              <w:t xml:space="preserve">vol. 23, no. 3, pp. 313-339, 2012. </w:t>
            </w:r>
          </w:p>
        </w:tc>
      </w:tr>
      <w:tr w:rsidR="00D20A89" w14:paraId="6EEBCB4C" w14:textId="77777777" w:rsidTr="00D20A89">
        <w:trPr>
          <w:tblCellSpacing w:w="15" w:type="dxa"/>
        </w:trPr>
        <w:tc>
          <w:tcPr>
            <w:tcW w:w="50" w:type="pct"/>
            <w:tcMar>
              <w:top w:w="15" w:type="dxa"/>
              <w:left w:w="15" w:type="dxa"/>
              <w:bottom w:w="15" w:type="dxa"/>
              <w:right w:w="15" w:type="dxa"/>
            </w:tcMar>
            <w:hideMark/>
          </w:tcPr>
          <w:p w14:paraId="1D8D2E53" w14:textId="77777777" w:rsidR="00D20A89" w:rsidRDefault="00D20A89">
            <w:pPr>
              <w:pStyle w:val="Bibliography"/>
              <w:rPr>
                <w:noProof/>
                <w:lang w:val="id-ID" w:eastAsia="id-ID"/>
              </w:rPr>
            </w:pPr>
            <w:r>
              <w:rPr>
                <w:noProof/>
                <w:lang w:val="id-ID" w:eastAsia="id-ID"/>
              </w:rPr>
              <w:t xml:space="preserve">[6] </w:t>
            </w:r>
          </w:p>
        </w:tc>
        <w:tc>
          <w:tcPr>
            <w:tcW w:w="0" w:type="auto"/>
            <w:tcMar>
              <w:top w:w="15" w:type="dxa"/>
              <w:left w:w="15" w:type="dxa"/>
              <w:bottom w:w="15" w:type="dxa"/>
              <w:right w:w="15" w:type="dxa"/>
            </w:tcMar>
            <w:hideMark/>
          </w:tcPr>
          <w:p w14:paraId="4C36D73B" w14:textId="77777777" w:rsidR="00D20A89" w:rsidRDefault="00D20A89">
            <w:pPr>
              <w:pStyle w:val="Bibliography"/>
              <w:rPr>
                <w:noProof/>
                <w:lang w:val="id-ID" w:eastAsia="id-ID"/>
              </w:rPr>
            </w:pPr>
            <w:r>
              <w:rPr>
                <w:noProof/>
                <w:lang w:val="id-ID" w:eastAsia="id-ID"/>
              </w:rPr>
              <w:t xml:space="preserve">I. N. Pujawan, Supply Chain Management, Surabaya: Guna Widya, 2010. </w:t>
            </w:r>
          </w:p>
        </w:tc>
      </w:tr>
      <w:tr w:rsidR="00D20A89" w14:paraId="3333B634" w14:textId="77777777" w:rsidTr="00D20A89">
        <w:trPr>
          <w:tblCellSpacing w:w="15" w:type="dxa"/>
        </w:trPr>
        <w:tc>
          <w:tcPr>
            <w:tcW w:w="50" w:type="pct"/>
            <w:tcMar>
              <w:top w:w="15" w:type="dxa"/>
              <w:left w:w="15" w:type="dxa"/>
              <w:bottom w:w="15" w:type="dxa"/>
              <w:right w:w="15" w:type="dxa"/>
            </w:tcMar>
            <w:hideMark/>
          </w:tcPr>
          <w:p w14:paraId="66E30CC8" w14:textId="77777777" w:rsidR="00D20A89" w:rsidRDefault="00D20A89">
            <w:pPr>
              <w:pStyle w:val="Bibliography"/>
              <w:rPr>
                <w:noProof/>
                <w:lang w:val="id-ID" w:eastAsia="id-ID"/>
              </w:rPr>
            </w:pPr>
            <w:r>
              <w:rPr>
                <w:noProof/>
                <w:lang w:val="id-ID" w:eastAsia="id-ID"/>
              </w:rPr>
              <w:t xml:space="preserve">[7] </w:t>
            </w:r>
          </w:p>
        </w:tc>
        <w:tc>
          <w:tcPr>
            <w:tcW w:w="0" w:type="auto"/>
            <w:tcMar>
              <w:top w:w="15" w:type="dxa"/>
              <w:left w:w="15" w:type="dxa"/>
              <w:bottom w:w="15" w:type="dxa"/>
              <w:right w:w="15" w:type="dxa"/>
            </w:tcMar>
            <w:hideMark/>
          </w:tcPr>
          <w:p w14:paraId="2F6E3D55" w14:textId="77777777" w:rsidR="00D20A89" w:rsidRDefault="00D20A89">
            <w:pPr>
              <w:pStyle w:val="Bibliography"/>
              <w:rPr>
                <w:noProof/>
                <w:lang w:val="id-ID" w:eastAsia="id-ID"/>
              </w:rPr>
            </w:pPr>
            <w:r>
              <w:rPr>
                <w:noProof/>
                <w:lang w:val="id-ID" w:eastAsia="id-ID"/>
              </w:rPr>
              <w:t xml:space="preserve">I. manuj, J. T. Mentzer, “Global Supply Chain Management,” </w:t>
            </w:r>
            <w:r>
              <w:rPr>
                <w:i/>
                <w:iCs/>
                <w:noProof/>
                <w:lang w:val="id-ID" w:eastAsia="id-ID"/>
              </w:rPr>
              <w:t xml:space="preserve">Journal </w:t>
            </w:r>
            <w:r>
              <w:rPr>
                <w:i/>
                <w:iCs/>
                <w:noProof/>
                <w:lang w:val="id-ID" w:eastAsia="id-ID"/>
              </w:rPr>
              <w:t xml:space="preserve">of Business Logistics, </w:t>
            </w:r>
            <w:r>
              <w:rPr>
                <w:noProof/>
                <w:lang w:val="id-ID" w:eastAsia="id-ID"/>
              </w:rPr>
              <w:t xml:space="preserve">vol. 29, no. 1, pp. 133-155, 2008. </w:t>
            </w:r>
          </w:p>
        </w:tc>
      </w:tr>
      <w:tr w:rsidR="00D20A89" w14:paraId="45C3F071" w14:textId="77777777" w:rsidTr="00D20A89">
        <w:trPr>
          <w:tblCellSpacing w:w="15" w:type="dxa"/>
        </w:trPr>
        <w:tc>
          <w:tcPr>
            <w:tcW w:w="50" w:type="pct"/>
            <w:tcMar>
              <w:top w:w="15" w:type="dxa"/>
              <w:left w:w="15" w:type="dxa"/>
              <w:bottom w:w="15" w:type="dxa"/>
              <w:right w:w="15" w:type="dxa"/>
            </w:tcMar>
            <w:hideMark/>
          </w:tcPr>
          <w:p w14:paraId="61E1B7F0" w14:textId="77777777" w:rsidR="00D20A89" w:rsidRDefault="00D20A89">
            <w:pPr>
              <w:pStyle w:val="Bibliography"/>
              <w:rPr>
                <w:noProof/>
                <w:lang w:val="id-ID" w:eastAsia="id-ID"/>
              </w:rPr>
            </w:pPr>
            <w:r>
              <w:rPr>
                <w:noProof/>
                <w:lang w:val="id-ID" w:eastAsia="id-ID"/>
              </w:rPr>
              <w:t xml:space="preserve">[8] </w:t>
            </w:r>
          </w:p>
        </w:tc>
        <w:tc>
          <w:tcPr>
            <w:tcW w:w="0" w:type="auto"/>
            <w:tcMar>
              <w:top w:w="15" w:type="dxa"/>
              <w:left w:w="15" w:type="dxa"/>
              <w:bottom w:w="15" w:type="dxa"/>
              <w:right w:w="15" w:type="dxa"/>
            </w:tcMar>
            <w:hideMark/>
          </w:tcPr>
          <w:p w14:paraId="2B5A643B" w14:textId="77777777" w:rsidR="00D20A89" w:rsidRDefault="00D20A89">
            <w:pPr>
              <w:pStyle w:val="Bibliography"/>
              <w:rPr>
                <w:noProof/>
                <w:lang w:val="id-ID" w:eastAsia="id-ID"/>
              </w:rPr>
            </w:pPr>
            <w:r>
              <w:rPr>
                <w:noProof/>
                <w:lang w:val="id-ID" w:eastAsia="id-ID"/>
              </w:rPr>
              <w:t xml:space="preserve">W. A. Riijpkema, “Effective Sourcing Strategies for Perishable Product Supply Chains,” </w:t>
            </w:r>
            <w:r>
              <w:rPr>
                <w:i/>
                <w:iCs/>
                <w:noProof/>
                <w:lang w:val="id-ID" w:eastAsia="id-ID"/>
              </w:rPr>
              <w:t xml:space="preserve">International Journal of Physical Distribution &amp; LOgistics Management, </w:t>
            </w:r>
            <w:r>
              <w:rPr>
                <w:noProof/>
                <w:lang w:val="id-ID" w:eastAsia="id-ID"/>
              </w:rPr>
              <w:t xml:space="preserve">vol. 44, no. 6, pp. 494-510, 2014. </w:t>
            </w:r>
          </w:p>
        </w:tc>
      </w:tr>
      <w:tr w:rsidR="00D20A89" w14:paraId="62F2ED99" w14:textId="77777777" w:rsidTr="00D20A89">
        <w:trPr>
          <w:tblCellSpacing w:w="15" w:type="dxa"/>
        </w:trPr>
        <w:tc>
          <w:tcPr>
            <w:tcW w:w="50" w:type="pct"/>
            <w:tcMar>
              <w:top w:w="15" w:type="dxa"/>
              <w:left w:w="15" w:type="dxa"/>
              <w:bottom w:w="15" w:type="dxa"/>
              <w:right w:w="15" w:type="dxa"/>
            </w:tcMar>
            <w:hideMark/>
          </w:tcPr>
          <w:p w14:paraId="08EC040F" w14:textId="77777777" w:rsidR="00D20A89" w:rsidRDefault="00D20A89">
            <w:pPr>
              <w:pStyle w:val="Bibliography"/>
              <w:rPr>
                <w:noProof/>
                <w:lang w:val="id-ID" w:eastAsia="id-ID"/>
              </w:rPr>
            </w:pPr>
            <w:r>
              <w:rPr>
                <w:noProof/>
                <w:lang w:val="id-ID" w:eastAsia="id-ID"/>
              </w:rPr>
              <w:t xml:space="preserve">[9] </w:t>
            </w:r>
          </w:p>
        </w:tc>
        <w:tc>
          <w:tcPr>
            <w:tcW w:w="0" w:type="auto"/>
            <w:tcMar>
              <w:top w:w="15" w:type="dxa"/>
              <w:left w:w="15" w:type="dxa"/>
              <w:bottom w:w="15" w:type="dxa"/>
              <w:right w:w="15" w:type="dxa"/>
            </w:tcMar>
            <w:hideMark/>
          </w:tcPr>
          <w:p w14:paraId="6164613B" w14:textId="2EE56732" w:rsidR="00D20A89" w:rsidRDefault="00D20A89">
            <w:pPr>
              <w:pStyle w:val="Bibliography"/>
              <w:rPr>
                <w:noProof/>
                <w:lang w:val="id-ID" w:eastAsia="id-ID"/>
              </w:rPr>
            </w:pPr>
            <w:r>
              <w:rPr>
                <w:noProof/>
                <w:lang w:val="id-ID" w:eastAsia="id-ID"/>
              </w:rPr>
              <w:t xml:space="preserve">I Nyoman Pujawan, “Supply chain house of risk: a model risk management for proactive supply chain,” </w:t>
            </w:r>
            <w:r>
              <w:rPr>
                <w:i/>
                <w:iCs/>
                <w:noProof/>
                <w:lang w:val="id-ID" w:eastAsia="id-ID"/>
              </w:rPr>
              <w:t xml:space="preserve">Business Process Management Journal, </w:t>
            </w:r>
            <w:r>
              <w:rPr>
                <w:noProof/>
                <w:lang w:val="id-ID" w:eastAsia="id-ID"/>
              </w:rPr>
              <w:t xml:space="preserve">vol. 15, no. 6, pp. 53-67, 2009. </w:t>
            </w:r>
          </w:p>
        </w:tc>
      </w:tr>
      <w:tr w:rsidR="00D20A89" w14:paraId="1D15C125" w14:textId="77777777" w:rsidTr="00D20A89">
        <w:trPr>
          <w:tblCellSpacing w:w="15" w:type="dxa"/>
        </w:trPr>
        <w:tc>
          <w:tcPr>
            <w:tcW w:w="50" w:type="pct"/>
            <w:tcMar>
              <w:top w:w="15" w:type="dxa"/>
              <w:left w:w="15" w:type="dxa"/>
              <w:bottom w:w="15" w:type="dxa"/>
              <w:right w:w="15" w:type="dxa"/>
            </w:tcMar>
            <w:hideMark/>
          </w:tcPr>
          <w:p w14:paraId="1C91E645" w14:textId="77777777" w:rsidR="00D20A89" w:rsidRDefault="00D20A89">
            <w:pPr>
              <w:pStyle w:val="Bibliography"/>
              <w:rPr>
                <w:noProof/>
                <w:lang w:val="id-ID" w:eastAsia="id-ID"/>
              </w:rPr>
            </w:pPr>
            <w:r>
              <w:rPr>
                <w:noProof/>
                <w:lang w:val="id-ID" w:eastAsia="id-ID"/>
              </w:rPr>
              <w:t xml:space="preserve">[10] </w:t>
            </w:r>
          </w:p>
        </w:tc>
        <w:tc>
          <w:tcPr>
            <w:tcW w:w="0" w:type="auto"/>
            <w:tcMar>
              <w:top w:w="15" w:type="dxa"/>
              <w:left w:w="15" w:type="dxa"/>
              <w:bottom w:w="15" w:type="dxa"/>
              <w:right w:w="15" w:type="dxa"/>
            </w:tcMar>
            <w:hideMark/>
          </w:tcPr>
          <w:p w14:paraId="243B96D2" w14:textId="77777777" w:rsidR="00D20A89" w:rsidRDefault="00D20A89">
            <w:pPr>
              <w:pStyle w:val="Bibliography"/>
              <w:rPr>
                <w:noProof/>
                <w:lang w:val="id-ID" w:eastAsia="id-ID"/>
              </w:rPr>
            </w:pPr>
            <w:r>
              <w:rPr>
                <w:noProof/>
                <w:lang w:val="id-ID" w:eastAsia="id-ID"/>
              </w:rPr>
              <w:t xml:space="preserve">B. Gaudenzi, “Managing risk in the supply chain using the AHP method,” </w:t>
            </w:r>
            <w:r>
              <w:rPr>
                <w:i/>
                <w:iCs/>
                <w:noProof/>
                <w:lang w:val="id-ID" w:eastAsia="id-ID"/>
              </w:rPr>
              <w:t xml:space="preserve">International Journal of Logistics Management, </w:t>
            </w:r>
            <w:r>
              <w:rPr>
                <w:noProof/>
                <w:lang w:val="id-ID" w:eastAsia="id-ID"/>
              </w:rPr>
              <w:t xml:space="preserve">vol. 17, no. 1, pp. 14-36, 2006. </w:t>
            </w:r>
          </w:p>
        </w:tc>
      </w:tr>
      <w:tr w:rsidR="00D20A89" w14:paraId="75C86BB0" w14:textId="77777777" w:rsidTr="00D20A89">
        <w:trPr>
          <w:tblCellSpacing w:w="15" w:type="dxa"/>
        </w:trPr>
        <w:tc>
          <w:tcPr>
            <w:tcW w:w="50" w:type="pct"/>
            <w:tcMar>
              <w:top w:w="15" w:type="dxa"/>
              <w:left w:w="15" w:type="dxa"/>
              <w:bottom w:w="15" w:type="dxa"/>
              <w:right w:w="15" w:type="dxa"/>
            </w:tcMar>
            <w:hideMark/>
          </w:tcPr>
          <w:p w14:paraId="669F6D86" w14:textId="77777777" w:rsidR="00D20A89" w:rsidRDefault="00D20A89">
            <w:pPr>
              <w:pStyle w:val="Bibliography"/>
              <w:rPr>
                <w:noProof/>
                <w:lang w:val="id-ID" w:eastAsia="id-ID"/>
              </w:rPr>
            </w:pPr>
            <w:r>
              <w:rPr>
                <w:noProof/>
                <w:lang w:val="id-ID" w:eastAsia="id-ID"/>
              </w:rPr>
              <w:t xml:space="preserve">[11] </w:t>
            </w:r>
          </w:p>
        </w:tc>
        <w:tc>
          <w:tcPr>
            <w:tcW w:w="0" w:type="auto"/>
            <w:tcMar>
              <w:top w:w="15" w:type="dxa"/>
              <w:left w:w="15" w:type="dxa"/>
              <w:bottom w:w="15" w:type="dxa"/>
              <w:right w:w="15" w:type="dxa"/>
            </w:tcMar>
            <w:hideMark/>
          </w:tcPr>
          <w:p w14:paraId="0D3999A8" w14:textId="1CC6F677" w:rsidR="000F7F53" w:rsidRPr="005B5765" w:rsidRDefault="00D20A89" w:rsidP="005B5765">
            <w:pPr>
              <w:pStyle w:val="Bibliography"/>
              <w:rPr>
                <w:lang w:val="en-ID" w:eastAsia="id-ID"/>
              </w:rPr>
            </w:pPr>
            <w:r>
              <w:rPr>
                <w:noProof/>
                <w:lang w:val="id-ID" w:eastAsia="id-ID"/>
              </w:rPr>
              <w:t xml:space="preserve">A. Shahin, “Integration of FMEA and the Kano model: an exploratory examination,” </w:t>
            </w:r>
            <w:r>
              <w:rPr>
                <w:i/>
                <w:iCs/>
                <w:noProof/>
                <w:lang w:val="id-ID" w:eastAsia="id-ID"/>
              </w:rPr>
              <w:t xml:space="preserve">International Journal of Quality &amp; Reliability Management, </w:t>
            </w:r>
            <w:r>
              <w:rPr>
                <w:noProof/>
                <w:lang w:val="id-ID" w:eastAsia="id-ID"/>
              </w:rPr>
              <w:t>v</w:t>
            </w:r>
            <w:r w:rsidR="005B5765">
              <w:rPr>
                <w:noProof/>
                <w:lang w:val="id-ID" w:eastAsia="id-ID"/>
              </w:rPr>
              <w:t>ol. 21, no. 7, pp. 31-46, 2004.</w:t>
            </w:r>
          </w:p>
        </w:tc>
      </w:tr>
      <w:bookmarkEnd w:id="3"/>
    </w:tbl>
    <w:p w14:paraId="0B971EC4" w14:textId="77777777" w:rsidR="00D20A89" w:rsidRDefault="00D20A89" w:rsidP="00887C5B">
      <w:pPr>
        <w:spacing w:line="240" w:lineRule="auto"/>
        <w:rPr>
          <w:sz w:val="22"/>
        </w:rPr>
        <w:sectPr w:rsidR="00D20A89" w:rsidSect="00D20A89">
          <w:type w:val="continuous"/>
          <w:pgSz w:w="11907" w:h="16840" w:code="9"/>
          <w:pgMar w:top="1440" w:right="1440" w:bottom="1440" w:left="1440" w:header="720" w:footer="720" w:gutter="0"/>
          <w:cols w:num="2" w:space="708"/>
          <w:docGrid w:linePitch="360"/>
        </w:sectPr>
      </w:pPr>
    </w:p>
    <w:p w14:paraId="6B88A8A2" w14:textId="4F7B61C0" w:rsidR="00C17EE3" w:rsidRDefault="00C17EE3" w:rsidP="00887C5B">
      <w:pPr>
        <w:spacing w:line="240" w:lineRule="auto"/>
        <w:rPr>
          <w:sz w:val="22"/>
          <w:lang w:val="id-ID"/>
        </w:rPr>
      </w:pPr>
    </w:p>
    <w:sectPr w:rsidR="00C17EE3" w:rsidSect="00E47CFB">
      <w:type w:val="continuous"/>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C504" w14:textId="77777777" w:rsidR="000F7F53" w:rsidRDefault="000F7F53" w:rsidP="00BC2C95">
      <w:pPr>
        <w:spacing w:line="240" w:lineRule="auto"/>
      </w:pPr>
      <w:r>
        <w:separator/>
      </w:r>
    </w:p>
  </w:endnote>
  <w:endnote w:type="continuationSeparator" w:id="0">
    <w:p w14:paraId="21A0DCFD" w14:textId="77777777" w:rsidR="000F7F53" w:rsidRDefault="000F7F53" w:rsidP="00BC2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513"/>
      <w:gridCol w:w="850"/>
    </w:tblGrid>
    <w:tr w:rsidR="000F7F53" w:rsidRPr="002D22A2" w14:paraId="7787851E" w14:textId="77777777" w:rsidTr="00A95AB3">
      <w:trPr>
        <w:trHeight w:val="397"/>
      </w:trPr>
      <w:tc>
        <w:tcPr>
          <w:tcW w:w="850" w:type="dxa"/>
        </w:tcPr>
        <w:p w14:paraId="61B67CFF" w14:textId="2C05E2F5" w:rsidR="000F7F53" w:rsidRPr="002D22A2" w:rsidRDefault="000F7F53" w:rsidP="00A95AB3">
          <w:pPr>
            <w:pStyle w:val="Footer"/>
            <w:rPr>
              <w:iCs/>
              <w:sz w:val="20"/>
              <w:szCs w:val="20"/>
              <w:lang w:val="id-ID"/>
            </w:rPr>
          </w:pPr>
          <w:r w:rsidRPr="002D22A2">
            <w:rPr>
              <w:iCs/>
              <w:sz w:val="20"/>
              <w:szCs w:val="20"/>
              <w:lang w:val="id-ID"/>
            </w:rPr>
            <w:fldChar w:fldCharType="begin"/>
          </w:r>
          <w:r w:rsidRPr="002D22A2">
            <w:rPr>
              <w:iCs/>
              <w:sz w:val="20"/>
              <w:szCs w:val="20"/>
              <w:lang w:val="id-ID"/>
            </w:rPr>
            <w:instrText xml:space="preserve"> PAGE   \* MERGEFORMAT </w:instrText>
          </w:r>
          <w:r w:rsidRPr="002D22A2">
            <w:rPr>
              <w:iCs/>
              <w:sz w:val="20"/>
              <w:szCs w:val="20"/>
              <w:lang w:val="id-ID"/>
            </w:rPr>
            <w:fldChar w:fldCharType="separate"/>
          </w:r>
          <w:r w:rsidR="005B5765">
            <w:rPr>
              <w:iCs/>
              <w:noProof/>
              <w:sz w:val="20"/>
              <w:szCs w:val="20"/>
              <w:lang w:val="id-ID"/>
            </w:rPr>
            <w:t>4</w:t>
          </w:r>
          <w:r w:rsidRPr="002D22A2">
            <w:rPr>
              <w:iCs/>
              <w:noProof/>
              <w:sz w:val="20"/>
              <w:szCs w:val="20"/>
              <w:lang w:val="id-ID"/>
            </w:rPr>
            <w:fldChar w:fldCharType="end"/>
          </w:r>
        </w:p>
      </w:tc>
      <w:tc>
        <w:tcPr>
          <w:tcW w:w="7513" w:type="dxa"/>
        </w:tcPr>
        <w:p w14:paraId="30E621A6" w14:textId="77777777" w:rsidR="000F7F53" w:rsidRPr="002D22A2" w:rsidRDefault="000F7F53" w:rsidP="00036658">
          <w:pPr>
            <w:pStyle w:val="Footer"/>
            <w:rPr>
              <w:i/>
              <w:iCs/>
              <w:sz w:val="20"/>
              <w:szCs w:val="20"/>
              <w:lang w:val="id-ID"/>
            </w:rPr>
          </w:pPr>
          <w:r w:rsidRPr="002D22A2">
            <w:rPr>
              <w:i/>
              <w:iCs/>
              <w:sz w:val="20"/>
              <w:szCs w:val="20"/>
              <w:lang w:val="id-ID"/>
            </w:rPr>
            <w:t>Jurusan Teknik Industri Fakultas Teknik Industri UPN “Veteran” Yogyakarta</w:t>
          </w:r>
        </w:p>
      </w:tc>
      <w:tc>
        <w:tcPr>
          <w:tcW w:w="850" w:type="dxa"/>
        </w:tcPr>
        <w:p w14:paraId="07A59D13" w14:textId="77777777" w:rsidR="000F7F53" w:rsidRPr="002D22A2" w:rsidRDefault="000F7F53" w:rsidP="002E0AF3">
          <w:pPr>
            <w:pStyle w:val="Footer"/>
            <w:rPr>
              <w:i/>
              <w:iCs/>
              <w:sz w:val="20"/>
              <w:szCs w:val="20"/>
              <w:lang w:val="id-ID"/>
            </w:rPr>
          </w:pPr>
        </w:p>
      </w:tc>
    </w:tr>
  </w:tbl>
  <w:p w14:paraId="250AB7FA" w14:textId="77777777" w:rsidR="000F7F53" w:rsidRDefault="000F7F53" w:rsidP="00C54E0F">
    <w:pPr>
      <w:pStyle w:val="Footer"/>
      <w:rPr>
        <w:i/>
        <w:iCs/>
        <w:sz w:val="20"/>
        <w:szCs w:val="20"/>
      </w:rPr>
    </w:pPr>
    <w:r w:rsidRPr="004438EB">
      <w:rPr>
        <w:i/>
        <w:iCs/>
        <w:noProof/>
        <w:sz w:val="20"/>
        <w:szCs w:val="20"/>
      </w:rPr>
      <w:drawing>
        <wp:anchor distT="0" distB="0" distL="114300" distR="114300" simplePos="0" relativeHeight="251663360" behindDoc="0" locked="0" layoutInCell="1" allowOverlap="1" wp14:anchorId="4765EC27" wp14:editId="2C2172E1">
          <wp:simplePos x="0" y="0"/>
          <wp:positionH relativeFrom="column">
            <wp:posOffset>4572000</wp:posOffset>
          </wp:positionH>
          <wp:positionV relativeFrom="paragraph">
            <wp:posOffset>-639445</wp:posOffset>
          </wp:positionV>
          <wp:extent cx="1134110" cy="64643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411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D25D" w14:textId="77777777" w:rsidR="000F7F53" w:rsidRPr="002C401F" w:rsidRDefault="000F7F53" w:rsidP="002E0AF3">
    <w:pPr>
      <w:pStyle w:val="Footer"/>
      <w:ind w:left="720"/>
      <w:rPr>
        <w:i/>
        <w:iCs/>
        <w:sz w:val="22"/>
      </w:rPr>
    </w:pPr>
    <w:r w:rsidRPr="004438EB">
      <w:rPr>
        <w:i/>
        <w:iCs/>
        <w:noProof/>
        <w:sz w:val="20"/>
        <w:szCs w:val="20"/>
      </w:rPr>
      <w:drawing>
        <wp:anchor distT="0" distB="0" distL="114300" distR="114300" simplePos="0" relativeHeight="251661312" behindDoc="0" locked="0" layoutInCell="1" allowOverlap="1" wp14:anchorId="1A40EBFF" wp14:editId="47AA4956">
          <wp:simplePos x="0" y="0"/>
          <wp:positionH relativeFrom="column">
            <wp:posOffset>4595495</wp:posOffset>
          </wp:positionH>
          <wp:positionV relativeFrom="paragraph">
            <wp:posOffset>-212090</wp:posOffset>
          </wp:positionV>
          <wp:extent cx="1134110" cy="646430"/>
          <wp:effectExtent l="0" t="0" r="889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4110" cy="64643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2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513"/>
      <w:gridCol w:w="850"/>
    </w:tblGrid>
    <w:tr w:rsidR="000F7F53" w:rsidRPr="002D22A2" w14:paraId="4F0B75D9" w14:textId="77777777" w:rsidTr="00E56E2D">
      <w:trPr>
        <w:trHeight w:val="397"/>
      </w:trPr>
      <w:tc>
        <w:tcPr>
          <w:tcW w:w="850" w:type="dxa"/>
        </w:tcPr>
        <w:p w14:paraId="07AF24B6" w14:textId="77777777" w:rsidR="000F7F53" w:rsidRPr="002D22A2" w:rsidRDefault="000F7F53" w:rsidP="00E56E2D">
          <w:pPr>
            <w:pStyle w:val="Footer"/>
            <w:rPr>
              <w:i/>
              <w:iCs/>
              <w:sz w:val="20"/>
              <w:szCs w:val="20"/>
              <w:lang w:val="id-ID"/>
            </w:rPr>
          </w:pPr>
        </w:p>
      </w:tc>
      <w:tc>
        <w:tcPr>
          <w:tcW w:w="7513" w:type="dxa"/>
        </w:tcPr>
        <w:p w14:paraId="65201562" w14:textId="77777777" w:rsidR="000F7F53" w:rsidRPr="002D22A2" w:rsidRDefault="000F7F53" w:rsidP="00E56E2D">
          <w:pPr>
            <w:pStyle w:val="Footer"/>
            <w:rPr>
              <w:i/>
              <w:iCs/>
              <w:sz w:val="20"/>
              <w:szCs w:val="20"/>
              <w:lang w:val="id-ID"/>
            </w:rPr>
          </w:pPr>
          <w:r w:rsidRPr="002D22A2">
            <w:rPr>
              <w:i/>
              <w:iCs/>
              <w:sz w:val="20"/>
              <w:szCs w:val="20"/>
              <w:lang w:val="id-ID"/>
            </w:rPr>
            <w:t>Jurusan Teknik Industri Fakultas Teknik Industri UPN “Veteran” Yogyakarta</w:t>
          </w:r>
        </w:p>
      </w:tc>
      <w:tc>
        <w:tcPr>
          <w:tcW w:w="850" w:type="dxa"/>
        </w:tcPr>
        <w:p w14:paraId="1AE14471" w14:textId="5D9C96ED" w:rsidR="000F7F53" w:rsidRPr="002D22A2" w:rsidRDefault="000F7F53" w:rsidP="00E56E2D">
          <w:pPr>
            <w:pStyle w:val="Footer"/>
            <w:jc w:val="right"/>
            <w:rPr>
              <w:i/>
              <w:iCs/>
              <w:sz w:val="20"/>
              <w:szCs w:val="20"/>
              <w:lang w:val="id-ID"/>
            </w:rPr>
          </w:pPr>
          <w:sdt>
            <w:sdtPr>
              <w:rPr>
                <w:sz w:val="22"/>
                <w:lang w:val="id-ID"/>
              </w:rPr>
              <w:id w:val="2127734894"/>
              <w:docPartObj>
                <w:docPartGallery w:val="Page Numbers (Bottom of Page)"/>
                <w:docPartUnique/>
              </w:docPartObj>
            </w:sdtPr>
            <w:sdtEndPr>
              <w:rPr>
                <w:noProof/>
              </w:rPr>
            </w:sdtEndPr>
            <w:sdtContent>
              <w:r w:rsidRPr="002D22A2">
                <w:rPr>
                  <w:sz w:val="22"/>
                  <w:lang w:val="id-ID"/>
                </w:rPr>
                <w:fldChar w:fldCharType="begin"/>
              </w:r>
              <w:r w:rsidRPr="002D22A2">
                <w:rPr>
                  <w:sz w:val="22"/>
                  <w:lang w:val="id-ID"/>
                </w:rPr>
                <w:instrText xml:space="preserve"> PAGE   \* MERGEFORMAT </w:instrText>
              </w:r>
              <w:r w:rsidRPr="002D22A2">
                <w:rPr>
                  <w:sz w:val="22"/>
                  <w:lang w:val="id-ID"/>
                </w:rPr>
                <w:fldChar w:fldCharType="separate"/>
              </w:r>
              <w:r w:rsidR="005B5765">
                <w:rPr>
                  <w:noProof/>
                  <w:sz w:val="22"/>
                  <w:lang w:val="id-ID"/>
                </w:rPr>
                <w:t>5</w:t>
              </w:r>
              <w:r w:rsidRPr="002D22A2">
                <w:rPr>
                  <w:noProof/>
                  <w:sz w:val="22"/>
                  <w:lang w:val="id-ID"/>
                </w:rPr>
                <w:fldChar w:fldCharType="end"/>
              </w:r>
            </w:sdtContent>
          </w:sdt>
        </w:p>
      </w:tc>
    </w:tr>
  </w:tbl>
  <w:p w14:paraId="05B4D4A9" w14:textId="77777777" w:rsidR="000F7F53" w:rsidRDefault="000F7F53" w:rsidP="001337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9FB4" w14:textId="77777777" w:rsidR="000F7F53" w:rsidRDefault="000F7F53" w:rsidP="00BC2C95">
      <w:pPr>
        <w:spacing w:line="240" w:lineRule="auto"/>
      </w:pPr>
      <w:r>
        <w:separator/>
      </w:r>
    </w:p>
  </w:footnote>
  <w:footnote w:type="continuationSeparator" w:id="0">
    <w:p w14:paraId="3A1E433A" w14:textId="77777777" w:rsidR="000F7F53" w:rsidRDefault="000F7F53" w:rsidP="00BC2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060"/>
    </w:tblGrid>
    <w:tr w:rsidR="000F7F53" w:rsidRPr="002D22A2" w14:paraId="515FA50E" w14:textId="77777777" w:rsidTr="002E0AF3">
      <w:tc>
        <w:tcPr>
          <w:tcW w:w="4248" w:type="dxa"/>
        </w:tcPr>
        <w:p w14:paraId="5B4287BC" w14:textId="03E0FD28" w:rsidR="000F7F53" w:rsidRPr="002D22A2" w:rsidRDefault="000F7F53" w:rsidP="00D20A89">
          <w:pPr>
            <w:pStyle w:val="Header"/>
            <w:rPr>
              <w:lang w:val="id-ID"/>
            </w:rPr>
          </w:pPr>
          <w:r w:rsidRPr="002D22A2">
            <w:rPr>
              <w:i/>
              <w:iCs/>
              <w:sz w:val="20"/>
              <w:szCs w:val="20"/>
              <w:lang w:val="id-ID"/>
            </w:rPr>
            <w:t>Jurnal OPSI Vol 12 No.</w:t>
          </w:r>
          <w:r>
            <w:rPr>
              <w:i/>
              <w:iCs/>
              <w:sz w:val="20"/>
              <w:szCs w:val="20"/>
              <w:lang w:val="en-ID"/>
            </w:rPr>
            <w:t>2</w:t>
          </w:r>
          <w:r>
            <w:rPr>
              <w:i/>
              <w:iCs/>
              <w:sz w:val="20"/>
              <w:szCs w:val="20"/>
              <w:lang w:val="id-ID"/>
            </w:rPr>
            <w:t xml:space="preserve"> </w:t>
          </w:r>
          <w:r>
            <w:rPr>
              <w:i/>
              <w:iCs/>
              <w:sz w:val="20"/>
              <w:szCs w:val="20"/>
              <w:lang w:val="en-ID"/>
            </w:rPr>
            <w:t>Desember</w:t>
          </w:r>
          <w:r w:rsidRPr="002D22A2">
            <w:rPr>
              <w:i/>
              <w:iCs/>
              <w:sz w:val="20"/>
              <w:szCs w:val="20"/>
              <w:lang w:val="id-ID"/>
            </w:rPr>
            <w:t xml:space="preserve"> 2019</w:t>
          </w:r>
          <w:r w:rsidRPr="002D22A2">
            <w:rPr>
              <w:i/>
              <w:iCs/>
              <w:sz w:val="20"/>
              <w:szCs w:val="20"/>
              <w:lang w:val="id-ID"/>
            </w:rPr>
            <w:tab/>
            <w:t xml:space="preserve">      </w:t>
          </w:r>
        </w:p>
      </w:tc>
      <w:tc>
        <w:tcPr>
          <w:tcW w:w="709" w:type="dxa"/>
        </w:tcPr>
        <w:p w14:paraId="225E2ECF" w14:textId="77777777" w:rsidR="000F7F53" w:rsidRPr="002D22A2" w:rsidRDefault="000F7F53">
          <w:pPr>
            <w:pStyle w:val="Header"/>
            <w:rPr>
              <w:lang w:val="id-ID"/>
            </w:rPr>
          </w:pPr>
        </w:p>
      </w:tc>
      <w:tc>
        <w:tcPr>
          <w:tcW w:w="4060" w:type="dxa"/>
        </w:tcPr>
        <w:p w14:paraId="12368A2D" w14:textId="77777777" w:rsidR="000F7F53" w:rsidRPr="002D22A2" w:rsidRDefault="000F7F53" w:rsidP="002E0AF3">
          <w:pPr>
            <w:pStyle w:val="Header"/>
            <w:jc w:val="right"/>
            <w:rPr>
              <w:lang w:val="id-ID"/>
            </w:rPr>
          </w:pPr>
          <w:r w:rsidRPr="002D22A2">
            <w:rPr>
              <w:i/>
              <w:iCs/>
              <w:sz w:val="20"/>
              <w:szCs w:val="20"/>
              <w:lang w:val="id-ID"/>
            </w:rPr>
            <w:t xml:space="preserve">          ISSN 1693-2102</w:t>
          </w:r>
        </w:p>
      </w:tc>
    </w:tr>
    <w:tr w:rsidR="000F7F53" w:rsidRPr="002D22A2" w14:paraId="243761D5" w14:textId="77777777" w:rsidTr="002E0AF3">
      <w:tc>
        <w:tcPr>
          <w:tcW w:w="4248" w:type="dxa"/>
        </w:tcPr>
        <w:p w14:paraId="5D4BF994" w14:textId="77777777" w:rsidR="000F7F53" w:rsidRPr="002D22A2" w:rsidRDefault="000F7F53">
          <w:pPr>
            <w:pStyle w:val="Header"/>
            <w:rPr>
              <w:i/>
              <w:iCs/>
              <w:sz w:val="20"/>
              <w:szCs w:val="20"/>
              <w:lang w:val="id-ID"/>
            </w:rPr>
          </w:pPr>
          <w:r w:rsidRPr="002D22A2">
            <w:rPr>
              <w:i/>
              <w:iCs/>
              <w:sz w:val="20"/>
              <w:szCs w:val="20"/>
              <w:lang w:val="id-ID"/>
            </w:rPr>
            <w:t>http://jurnal.upnyk.ac.id/index.php/opsi</w:t>
          </w:r>
        </w:p>
      </w:tc>
      <w:tc>
        <w:tcPr>
          <w:tcW w:w="709" w:type="dxa"/>
        </w:tcPr>
        <w:p w14:paraId="46B28765" w14:textId="77777777" w:rsidR="000F7F53" w:rsidRPr="002D22A2" w:rsidRDefault="000F7F53">
          <w:pPr>
            <w:pStyle w:val="Header"/>
            <w:rPr>
              <w:lang w:val="id-ID"/>
            </w:rPr>
          </w:pPr>
        </w:p>
      </w:tc>
      <w:tc>
        <w:tcPr>
          <w:tcW w:w="4060" w:type="dxa"/>
        </w:tcPr>
        <w:p w14:paraId="4A01055B" w14:textId="77777777" w:rsidR="000F7F53" w:rsidRPr="002D22A2" w:rsidRDefault="000F7F53" w:rsidP="002E0AF3">
          <w:pPr>
            <w:pStyle w:val="Header"/>
            <w:jc w:val="right"/>
            <w:rPr>
              <w:lang w:val="id-ID"/>
            </w:rPr>
          </w:pPr>
          <w:r w:rsidRPr="002D22A2">
            <w:rPr>
              <w:i/>
              <w:iCs/>
              <w:sz w:val="20"/>
              <w:szCs w:val="20"/>
              <w:lang w:val="id-ID"/>
            </w:rPr>
            <w:t>OPSI – Jurnal Optimasi Sistem Industri</w:t>
          </w:r>
        </w:p>
      </w:tc>
    </w:tr>
  </w:tbl>
  <w:p w14:paraId="7BB0DFD3" w14:textId="77777777" w:rsidR="000F7F53" w:rsidRPr="002E0AF3" w:rsidRDefault="000F7F53" w:rsidP="002E0AF3">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060"/>
    </w:tblGrid>
    <w:tr w:rsidR="000F7F53" w:rsidRPr="002D22A2" w14:paraId="4BDE7CFF" w14:textId="77777777" w:rsidTr="002E0AF3">
      <w:tc>
        <w:tcPr>
          <w:tcW w:w="4248" w:type="dxa"/>
        </w:tcPr>
        <w:p w14:paraId="29FAC71B" w14:textId="58372F1A" w:rsidR="000F7F53" w:rsidRPr="002D22A2" w:rsidRDefault="000F7F53" w:rsidP="00574228">
          <w:pPr>
            <w:pStyle w:val="Header"/>
            <w:rPr>
              <w:lang w:val="id-ID"/>
            </w:rPr>
          </w:pPr>
          <w:r>
            <w:rPr>
              <w:i/>
              <w:iCs/>
              <w:sz w:val="20"/>
              <w:szCs w:val="20"/>
              <w:lang w:val="id-ID"/>
            </w:rPr>
            <w:t>Jurnal OPSI Vol 12 No.</w:t>
          </w:r>
          <w:r>
            <w:rPr>
              <w:i/>
              <w:iCs/>
              <w:sz w:val="20"/>
              <w:szCs w:val="20"/>
              <w:lang w:val="en-ID"/>
            </w:rPr>
            <w:t>2</w:t>
          </w:r>
          <w:r w:rsidRPr="002D22A2">
            <w:rPr>
              <w:i/>
              <w:iCs/>
              <w:sz w:val="20"/>
              <w:szCs w:val="20"/>
              <w:lang w:val="id-ID"/>
            </w:rPr>
            <w:t xml:space="preserve"> </w:t>
          </w:r>
          <w:r>
            <w:rPr>
              <w:i/>
              <w:iCs/>
              <w:sz w:val="20"/>
              <w:szCs w:val="20"/>
              <w:lang w:val="en-ID"/>
            </w:rPr>
            <w:t>Desember</w:t>
          </w:r>
          <w:r w:rsidRPr="002D22A2">
            <w:rPr>
              <w:i/>
              <w:iCs/>
              <w:sz w:val="20"/>
              <w:szCs w:val="20"/>
              <w:lang w:val="id-ID"/>
            </w:rPr>
            <w:t xml:space="preserve"> 2019</w:t>
          </w:r>
          <w:r w:rsidRPr="002D22A2">
            <w:rPr>
              <w:i/>
              <w:iCs/>
              <w:sz w:val="20"/>
              <w:szCs w:val="20"/>
              <w:lang w:val="id-ID"/>
            </w:rPr>
            <w:tab/>
            <w:t xml:space="preserve">      </w:t>
          </w:r>
        </w:p>
      </w:tc>
      <w:tc>
        <w:tcPr>
          <w:tcW w:w="709" w:type="dxa"/>
        </w:tcPr>
        <w:p w14:paraId="14B5197F" w14:textId="77777777" w:rsidR="000F7F53" w:rsidRPr="002D22A2" w:rsidRDefault="000F7F53" w:rsidP="002E0AF3">
          <w:pPr>
            <w:pStyle w:val="Header"/>
            <w:rPr>
              <w:lang w:val="id-ID"/>
            </w:rPr>
          </w:pPr>
        </w:p>
      </w:tc>
      <w:tc>
        <w:tcPr>
          <w:tcW w:w="4060" w:type="dxa"/>
        </w:tcPr>
        <w:p w14:paraId="029FE9F1" w14:textId="77777777" w:rsidR="000F7F53" w:rsidRPr="002D22A2" w:rsidRDefault="000F7F53" w:rsidP="002E0AF3">
          <w:pPr>
            <w:pStyle w:val="Header"/>
            <w:jc w:val="right"/>
            <w:rPr>
              <w:lang w:val="id-ID"/>
            </w:rPr>
          </w:pPr>
          <w:r w:rsidRPr="002D22A2">
            <w:rPr>
              <w:i/>
              <w:iCs/>
              <w:sz w:val="20"/>
              <w:szCs w:val="20"/>
              <w:lang w:val="id-ID"/>
            </w:rPr>
            <w:t xml:space="preserve">          ISSN 1693-2102</w:t>
          </w:r>
        </w:p>
      </w:tc>
    </w:tr>
    <w:tr w:rsidR="000F7F53" w:rsidRPr="002D22A2" w14:paraId="25AEB52A" w14:textId="77777777" w:rsidTr="002E0AF3">
      <w:tc>
        <w:tcPr>
          <w:tcW w:w="4248" w:type="dxa"/>
        </w:tcPr>
        <w:p w14:paraId="316E1031" w14:textId="77777777" w:rsidR="000F7F53" w:rsidRPr="002D22A2" w:rsidRDefault="000F7F53" w:rsidP="002E0AF3">
          <w:pPr>
            <w:pStyle w:val="Header"/>
            <w:rPr>
              <w:i/>
              <w:iCs/>
              <w:sz w:val="20"/>
              <w:szCs w:val="20"/>
              <w:lang w:val="id-ID"/>
            </w:rPr>
          </w:pPr>
          <w:r w:rsidRPr="002D22A2">
            <w:rPr>
              <w:i/>
              <w:iCs/>
              <w:sz w:val="20"/>
              <w:szCs w:val="20"/>
              <w:lang w:val="id-ID"/>
            </w:rPr>
            <w:t>http://jurnal.upnyk.ac.id/index.php/opsi</w:t>
          </w:r>
        </w:p>
      </w:tc>
      <w:tc>
        <w:tcPr>
          <w:tcW w:w="709" w:type="dxa"/>
        </w:tcPr>
        <w:p w14:paraId="666FF234" w14:textId="77777777" w:rsidR="000F7F53" w:rsidRPr="002D22A2" w:rsidRDefault="000F7F53" w:rsidP="002E0AF3">
          <w:pPr>
            <w:pStyle w:val="Header"/>
            <w:rPr>
              <w:lang w:val="id-ID"/>
            </w:rPr>
          </w:pPr>
        </w:p>
      </w:tc>
      <w:tc>
        <w:tcPr>
          <w:tcW w:w="4060" w:type="dxa"/>
        </w:tcPr>
        <w:p w14:paraId="6FAB9CE3" w14:textId="77777777" w:rsidR="000F7F53" w:rsidRPr="002D22A2" w:rsidRDefault="000F7F53" w:rsidP="002E0AF3">
          <w:pPr>
            <w:pStyle w:val="Header"/>
            <w:jc w:val="right"/>
            <w:rPr>
              <w:lang w:val="id-ID"/>
            </w:rPr>
          </w:pPr>
          <w:r w:rsidRPr="002D22A2">
            <w:rPr>
              <w:i/>
              <w:iCs/>
              <w:sz w:val="20"/>
              <w:szCs w:val="20"/>
              <w:lang w:val="id-ID"/>
            </w:rPr>
            <w:t>OPSI – Jurnal Optimasi Sistem Industri</w:t>
          </w:r>
        </w:p>
      </w:tc>
    </w:tr>
  </w:tbl>
  <w:p w14:paraId="3A68DA1C" w14:textId="77777777" w:rsidR="000F7F53" w:rsidRPr="002E0AF3" w:rsidRDefault="000F7F53" w:rsidP="002E0AF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76C426"/>
    <w:multiLevelType w:val="hybridMultilevel"/>
    <w:tmpl w:val="8676C4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D2584"/>
    <w:multiLevelType w:val="multilevel"/>
    <w:tmpl w:val="29142B36"/>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sz w:val="20"/>
      </w:rPr>
    </w:lvl>
    <w:lvl w:ilvl="2">
      <w:start w:val="1"/>
      <w:numFmt w:val="decimal"/>
      <w:isLgl/>
      <w:lvlText w:val="%1.%2.%3"/>
      <w:lvlJc w:val="left"/>
      <w:pPr>
        <w:ind w:left="1778" w:hanging="720"/>
      </w:pPr>
      <w:rPr>
        <w:rFonts w:ascii="Times New Roman" w:hAnsi="Times New Roman" w:cs="Times New Roman" w:hint="default"/>
        <w:sz w:val="22"/>
        <w:szCs w:val="22"/>
      </w:rPr>
    </w:lvl>
    <w:lvl w:ilvl="3">
      <w:start w:val="1"/>
      <w:numFmt w:val="decimal"/>
      <w:isLgl/>
      <w:lvlText w:val="%1.%2.%3.%4"/>
      <w:lvlJc w:val="left"/>
      <w:pPr>
        <w:ind w:left="2127" w:hanging="720"/>
      </w:pPr>
      <w:rPr>
        <w:rFonts w:hint="default"/>
        <w:sz w:val="20"/>
      </w:rPr>
    </w:lvl>
    <w:lvl w:ilvl="4">
      <w:start w:val="1"/>
      <w:numFmt w:val="decimal"/>
      <w:isLgl/>
      <w:lvlText w:val="%1.%2.%3.%4.%5"/>
      <w:lvlJc w:val="left"/>
      <w:pPr>
        <w:ind w:left="2836" w:hanging="1080"/>
      </w:pPr>
      <w:rPr>
        <w:rFonts w:hint="default"/>
        <w:sz w:val="20"/>
      </w:rPr>
    </w:lvl>
    <w:lvl w:ilvl="5">
      <w:start w:val="1"/>
      <w:numFmt w:val="decimal"/>
      <w:isLgl/>
      <w:lvlText w:val="%1.%2.%3.%4.%5.%6"/>
      <w:lvlJc w:val="left"/>
      <w:pPr>
        <w:ind w:left="3185" w:hanging="1080"/>
      </w:pPr>
      <w:rPr>
        <w:rFonts w:hint="default"/>
        <w:sz w:val="20"/>
      </w:rPr>
    </w:lvl>
    <w:lvl w:ilvl="6">
      <w:start w:val="1"/>
      <w:numFmt w:val="decimal"/>
      <w:isLgl/>
      <w:lvlText w:val="%1.%2.%3.%4.%5.%6.%7"/>
      <w:lvlJc w:val="left"/>
      <w:pPr>
        <w:ind w:left="3894" w:hanging="1440"/>
      </w:pPr>
      <w:rPr>
        <w:rFonts w:hint="default"/>
        <w:sz w:val="20"/>
      </w:rPr>
    </w:lvl>
    <w:lvl w:ilvl="7">
      <w:start w:val="1"/>
      <w:numFmt w:val="decimal"/>
      <w:isLgl/>
      <w:lvlText w:val="%1.%2.%3.%4.%5.%6.%7.%8"/>
      <w:lvlJc w:val="left"/>
      <w:pPr>
        <w:ind w:left="4243" w:hanging="1440"/>
      </w:pPr>
      <w:rPr>
        <w:rFonts w:hint="default"/>
        <w:sz w:val="20"/>
      </w:rPr>
    </w:lvl>
    <w:lvl w:ilvl="8">
      <w:start w:val="1"/>
      <w:numFmt w:val="decimal"/>
      <w:isLgl/>
      <w:lvlText w:val="%1.%2.%3.%4.%5.%6.%7.%8.%9"/>
      <w:lvlJc w:val="left"/>
      <w:pPr>
        <w:ind w:left="4952" w:hanging="1800"/>
      </w:pPr>
      <w:rPr>
        <w:rFonts w:hint="default"/>
        <w:sz w:val="20"/>
      </w:rPr>
    </w:lvl>
  </w:abstractNum>
  <w:abstractNum w:abstractNumId="2" w15:restartNumberingAfterBreak="0">
    <w:nsid w:val="0610548B"/>
    <w:multiLevelType w:val="hybridMultilevel"/>
    <w:tmpl w:val="567C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60EBB"/>
    <w:multiLevelType w:val="multilevel"/>
    <w:tmpl w:val="BCD86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B54D4C"/>
    <w:multiLevelType w:val="multilevel"/>
    <w:tmpl w:val="4918B258"/>
    <w:lvl w:ilvl="0">
      <w:start w:val="3"/>
      <w:numFmt w:val="decimal"/>
      <w:lvlText w:val="%1."/>
      <w:lvlJc w:val="left"/>
      <w:pPr>
        <w:ind w:left="360" w:hanging="360"/>
      </w:pPr>
      <w:rPr>
        <w:b w:val="0"/>
      </w:rPr>
    </w:lvl>
    <w:lvl w:ilvl="1">
      <w:start w:val="1"/>
      <w:numFmt w:val="decimal"/>
      <w:lvlText w:val="%1.%2."/>
      <w:lvlJc w:val="left"/>
      <w:pPr>
        <w:ind w:left="1440" w:hanging="360"/>
      </w:pPr>
      <w:rPr>
        <w:b/>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5" w15:restartNumberingAfterBreak="0">
    <w:nsid w:val="2E2E4E0E"/>
    <w:multiLevelType w:val="multilevel"/>
    <w:tmpl w:val="95681E3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1CE3D26"/>
    <w:multiLevelType w:val="multilevel"/>
    <w:tmpl w:val="4918B258"/>
    <w:lvl w:ilvl="0">
      <w:start w:val="3"/>
      <w:numFmt w:val="decimal"/>
      <w:lvlText w:val="%1."/>
      <w:lvlJc w:val="left"/>
      <w:pPr>
        <w:ind w:left="360" w:hanging="360"/>
      </w:pPr>
      <w:rPr>
        <w:b w:val="0"/>
      </w:rPr>
    </w:lvl>
    <w:lvl w:ilvl="1">
      <w:start w:val="1"/>
      <w:numFmt w:val="decimal"/>
      <w:lvlText w:val="%1.%2."/>
      <w:lvlJc w:val="left"/>
      <w:pPr>
        <w:ind w:left="1440" w:hanging="360"/>
      </w:pPr>
      <w:rPr>
        <w:b/>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7" w15:restartNumberingAfterBreak="0">
    <w:nsid w:val="777A4999"/>
    <w:multiLevelType w:val="multilevel"/>
    <w:tmpl w:val="186C62B0"/>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2"/>
  </w:num>
  <w:num w:numId="3">
    <w:abstractNumId w:val="1"/>
  </w:num>
  <w:num w:numId="4">
    <w:abstractNumId w:val="5"/>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tDQ0MTI2MzQ0NbdQ0lEKTi0uzszPAykwrAUANzH5ViwAAAA="/>
  </w:docVars>
  <w:rsids>
    <w:rsidRoot w:val="00BC2C95"/>
    <w:rsid w:val="00036658"/>
    <w:rsid w:val="000847E1"/>
    <w:rsid w:val="00085E28"/>
    <w:rsid w:val="000F7F53"/>
    <w:rsid w:val="0013377A"/>
    <w:rsid w:val="00161197"/>
    <w:rsid w:val="001E110F"/>
    <w:rsid w:val="00244744"/>
    <w:rsid w:val="00250D17"/>
    <w:rsid w:val="00284EC1"/>
    <w:rsid w:val="002C3D62"/>
    <w:rsid w:val="002C401F"/>
    <w:rsid w:val="002D22A2"/>
    <w:rsid w:val="002E0AF3"/>
    <w:rsid w:val="00326DA2"/>
    <w:rsid w:val="004438EB"/>
    <w:rsid w:val="004A5B8B"/>
    <w:rsid w:val="005415B3"/>
    <w:rsid w:val="00543087"/>
    <w:rsid w:val="00574228"/>
    <w:rsid w:val="00584881"/>
    <w:rsid w:val="005B0E98"/>
    <w:rsid w:val="005B5765"/>
    <w:rsid w:val="005C2CF7"/>
    <w:rsid w:val="006E7D85"/>
    <w:rsid w:val="006F3474"/>
    <w:rsid w:val="00711E25"/>
    <w:rsid w:val="007B2105"/>
    <w:rsid w:val="007F0A11"/>
    <w:rsid w:val="00874ADE"/>
    <w:rsid w:val="00887C5B"/>
    <w:rsid w:val="00936CA3"/>
    <w:rsid w:val="009B76D6"/>
    <w:rsid w:val="00A12EFF"/>
    <w:rsid w:val="00A133E7"/>
    <w:rsid w:val="00A95AB3"/>
    <w:rsid w:val="00AD4554"/>
    <w:rsid w:val="00BC2C95"/>
    <w:rsid w:val="00C17EE3"/>
    <w:rsid w:val="00C54E0F"/>
    <w:rsid w:val="00C556E6"/>
    <w:rsid w:val="00C70004"/>
    <w:rsid w:val="00C81C98"/>
    <w:rsid w:val="00CD0A54"/>
    <w:rsid w:val="00D20A89"/>
    <w:rsid w:val="00D80CB2"/>
    <w:rsid w:val="00E47CFB"/>
    <w:rsid w:val="00E519CF"/>
    <w:rsid w:val="00E56E2D"/>
    <w:rsid w:val="00EE17CA"/>
    <w:rsid w:val="00EE6CDB"/>
    <w:rsid w:val="00F136C1"/>
    <w:rsid w:val="00F47352"/>
    <w:rsid w:val="00F66403"/>
    <w:rsid w:val="00F67BD5"/>
    <w:rsid w:val="00FF7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89B51"/>
  <w15:chartTrackingRefBased/>
  <w15:docId w15:val="{D6D36FA5-6DD4-4C41-AB1E-69CF70B4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744"/>
    <w:pPr>
      <w:keepNext/>
      <w:keepLines/>
      <w:spacing w:before="24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6F3474"/>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44"/>
    <w:rPr>
      <w:rFonts w:eastAsiaTheme="majorEastAsia" w:cstheme="majorBidi"/>
      <w:sz w:val="28"/>
      <w:szCs w:val="32"/>
    </w:rPr>
  </w:style>
  <w:style w:type="character" w:customStyle="1" w:styleId="Heading2Char">
    <w:name w:val="Heading 2 Char"/>
    <w:basedOn w:val="DefaultParagraphFont"/>
    <w:link w:val="Heading2"/>
    <w:uiPriority w:val="9"/>
    <w:rsid w:val="006F3474"/>
    <w:rPr>
      <w:rFonts w:eastAsiaTheme="majorEastAsia" w:cstheme="majorBidi"/>
      <w:b/>
      <w:szCs w:val="26"/>
    </w:rPr>
  </w:style>
  <w:style w:type="paragraph" w:styleId="Header">
    <w:name w:val="header"/>
    <w:basedOn w:val="Normal"/>
    <w:link w:val="HeaderChar"/>
    <w:uiPriority w:val="99"/>
    <w:unhideWhenUsed/>
    <w:rsid w:val="00BC2C95"/>
    <w:pPr>
      <w:tabs>
        <w:tab w:val="center" w:pos="4680"/>
        <w:tab w:val="right" w:pos="9360"/>
      </w:tabs>
      <w:spacing w:line="240" w:lineRule="auto"/>
    </w:pPr>
  </w:style>
  <w:style w:type="character" w:customStyle="1" w:styleId="HeaderChar">
    <w:name w:val="Header Char"/>
    <w:basedOn w:val="DefaultParagraphFont"/>
    <w:link w:val="Header"/>
    <w:uiPriority w:val="99"/>
    <w:rsid w:val="00BC2C95"/>
  </w:style>
  <w:style w:type="paragraph" w:styleId="Footer">
    <w:name w:val="footer"/>
    <w:basedOn w:val="Normal"/>
    <w:link w:val="FooterChar"/>
    <w:uiPriority w:val="99"/>
    <w:unhideWhenUsed/>
    <w:rsid w:val="00BC2C95"/>
    <w:pPr>
      <w:tabs>
        <w:tab w:val="center" w:pos="4680"/>
        <w:tab w:val="right" w:pos="9360"/>
      </w:tabs>
      <w:spacing w:line="240" w:lineRule="auto"/>
    </w:pPr>
  </w:style>
  <w:style w:type="character" w:customStyle="1" w:styleId="FooterChar">
    <w:name w:val="Footer Char"/>
    <w:basedOn w:val="DefaultParagraphFont"/>
    <w:link w:val="Footer"/>
    <w:uiPriority w:val="99"/>
    <w:rsid w:val="00BC2C95"/>
  </w:style>
  <w:style w:type="character" w:styleId="Hyperlink">
    <w:name w:val="Hyperlink"/>
    <w:basedOn w:val="DefaultParagraphFont"/>
    <w:uiPriority w:val="99"/>
    <w:unhideWhenUsed/>
    <w:rsid w:val="00085E28"/>
    <w:rPr>
      <w:color w:val="0563C1" w:themeColor="hyperlink"/>
      <w:u w:val="single"/>
    </w:rPr>
  </w:style>
  <w:style w:type="paragraph" w:styleId="ListParagraph">
    <w:name w:val="List Paragraph"/>
    <w:basedOn w:val="Normal"/>
    <w:uiPriority w:val="34"/>
    <w:qFormat/>
    <w:rsid w:val="00887C5B"/>
    <w:pPr>
      <w:ind w:left="720"/>
      <w:contextualSpacing/>
    </w:pPr>
  </w:style>
  <w:style w:type="paragraph" w:styleId="Caption">
    <w:name w:val="caption"/>
    <w:basedOn w:val="Normal"/>
    <w:next w:val="Normal"/>
    <w:uiPriority w:val="35"/>
    <w:unhideWhenUsed/>
    <w:qFormat/>
    <w:rsid w:val="005C2CF7"/>
    <w:pPr>
      <w:spacing w:after="200" w:line="240" w:lineRule="auto"/>
    </w:pPr>
    <w:rPr>
      <w:rFonts w:asciiTheme="minorHAnsi" w:hAnsiTheme="minorHAnsi"/>
      <w:b/>
      <w:bCs/>
      <w:color w:val="5B9BD5" w:themeColor="accent1"/>
      <w:sz w:val="18"/>
      <w:szCs w:val="18"/>
    </w:rPr>
  </w:style>
  <w:style w:type="table" w:styleId="TableGrid">
    <w:name w:val="Table Grid"/>
    <w:basedOn w:val="TableNormal"/>
    <w:uiPriority w:val="39"/>
    <w:rsid w:val="002E0A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7B2105"/>
    <w:pPr>
      <w:spacing w:after="120"/>
      <w:ind w:left="283"/>
    </w:pPr>
  </w:style>
  <w:style w:type="character" w:customStyle="1" w:styleId="BodyTextIndentChar">
    <w:name w:val="Body Text Indent Char"/>
    <w:basedOn w:val="DefaultParagraphFont"/>
    <w:link w:val="BodyTextIndent"/>
    <w:uiPriority w:val="99"/>
    <w:semiHidden/>
    <w:rsid w:val="007B2105"/>
  </w:style>
  <w:style w:type="paragraph" w:styleId="Bibliography">
    <w:name w:val="Bibliography"/>
    <w:basedOn w:val="Normal"/>
    <w:next w:val="Normal"/>
    <w:uiPriority w:val="37"/>
    <w:unhideWhenUsed/>
    <w:rsid w:val="00D20A89"/>
    <w:pPr>
      <w:spacing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925">
      <w:bodyDiv w:val="1"/>
      <w:marLeft w:val="0"/>
      <w:marRight w:val="0"/>
      <w:marTop w:val="0"/>
      <w:marBottom w:val="0"/>
      <w:divBdr>
        <w:top w:val="none" w:sz="0" w:space="0" w:color="auto"/>
        <w:left w:val="none" w:sz="0" w:space="0" w:color="auto"/>
        <w:bottom w:val="none" w:sz="0" w:space="0" w:color="auto"/>
        <w:right w:val="none" w:sz="0" w:space="0" w:color="auto"/>
      </w:divBdr>
    </w:div>
    <w:div w:id="262568905">
      <w:bodyDiv w:val="1"/>
      <w:marLeft w:val="0"/>
      <w:marRight w:val="0"/>
      <w:marTop w:val="0"/>
      <w:marBottom w:val="0"/>
      <w:divBdr>
        <w:top w:val="none" w:sz="0" w:space="0" w:color="auto"/>
        <w:left w:val="none" w:sz="0" w:space="0" w:color="auto"/>
        <w:bottom w:val="none" w:sz="0" w:space="0" w:color="auto"/>
        <w:right w:val="none" w:sz="0" w:space="0" w:color="auto"/>
      </w:divBdr>
    </w:div>
    <w:div w:id="344525756">
      <w:bodyDiv w:val="1"/>
      <w:marLeft w:val="0"/>
      <w:marRight w:val="0"/>
      <w:marTop w:val="0"/>
      <w:marBottom w:val="0"/>
      <w:divBdr>
        <w:top w:val="none" w:sz="0" w:space="0" w:color="auto"/>
        <w:left w:val="none" w:sz="0" w:space="0" w:color="auto"/>
        <w:bottom w:val="none" w:sz="0" w:space="0" w:color="auto"/>
        <w:right w:val="none" w:sz="0" w:space="0" w:color="auto"/>
      </w:divBdr>
    </w:div>
    <w:div w:id="356660518">
      <w:bodyDiv w:val="1"/>
      <w:marLeft w:val="0"/>
      <w:marRight w:val="0"/>
      <w:marTop w:val="0"/>
      <w:marBottom w:val="0"/>
      <w:divBdr>
        <w:top w:val="none" w:sz="0" w:space="0" w:color="auto"/>
        <w:left w:val="none" w:sz="0" w:space="0" w:color="auto"/>
        <w:bottom w:val="none" w:sz="0" w:space="0" w:color="auto"/>
        <w:right w:val="none" w:sz="0" w:space="0" w:color="auto"/>
      </w:divBdr>
    </w:div>
    <w:div w:id="383213049">
      <w:bodyDiv w:val="1"/>
      <w:marLeft w:val="0"/>
      <w:marRight w:val="0"/>
      <w:marTop w:val="0"/>
      <w:marBottom w:val="0"/>
      <w:divBdr>
        <w:top w:val="none" w:sz="0" w:space="0" w:color="auto"/>
        <w:left w:val="none" w:sz="0" w:space="0" w:color="auto"/>
        <w:bottom w:val="none" w:sz="0" w:space="0" w:color="auto"/>
        <w:right w:val="none" w:sz="0" w:space="0" w:color="auto"/>
      </w:divBdr>
    </w:div>
    <w:div w:id="398983556">
      <w:bodyDiv w:val="1"/>
      <w:marLeft w:val="0"/>
      <w:marRight w:val="0"/>
      <w:marTop w:val="0"/>
      <w:marBottom w:val="0"/>
      <w:divBdr>
        <w:top w:val="none" w:sz="0" w:space="0" w:color="auto"/>
        <w:left w:val="none" w:sz="0" w:space="0" w:color="auto"/>
        <w:bottom w:val="none" w:sz="0" w:space="0" w:color="auto"/>
        <w:right w:val="none" w:sz="0" w:space="0" w:color="auto"/>
      </w:divBdr>
    </w:div>
    <w:div w:id="402026079">
      <w:bodyDiv w:val="1"/>
      <w:marLeft w:val="0"/>
      <w:marRight w:val="0"/>
      <w:marTop w:val="0"/>
      <w:marBottom w:val="0"/>
      <w:divBdr>
        <w:top w:val="none" w:sz="0" w:space="0" w:color="auto"/>
        <w:left w:val="none" w:sz="0" w:space="0" w:color="auto"/>
        <w:bottom w:val="none" w:sz="0" w:space="0" w:color="auto"/>
        <w:right w:val="none" w:sz="0" w:space="0" w:color="auto"/>
      </w:divBdr>
    </w:div>
    <w:div w:id="404962351">
      <w:bodyDiv w:val="1"/>
      <w:marLeft w:val="0"/>
      <w:marRight w:val="0"/>
      <w:marTop w:val="0"/>
      <w:marBottom w:val="0"/>
      <w:divBdr>
        <w:top w:val="none" w:sz="0" w:space="0" w:color="auto"/>
        <w:left w:val="none" w:sz="0" w:space="0" w:color="auto"/>
        <w:bottom w:val="none" w:sz="0" w:space="0" w:color="auto"/>
        <w:right w:val="none" w:sz="0" w:space="0" w:color="auto"/>
      </w:divBdr>
    </w:div>
    <w:div w:id="449980462">
      <w:bodyDiv w:val="1"/>
      <w:marLeft w:val="0"/>
      <w:marRight w:val="0"/>
      <w:marTop w:val="0"/>
      <w:marBottom w:val="0"/>
      <w:divBdr>
        <w:top w:val="none" w:sz="0" w:space="0" w:color="auto"/>
        <w:left w:val="none" w:sz="0" w:space="0" w:color="auto"/>
        <w:bottom w:val="none" w:sz="0" w:space="0" w:color="auto"/>
        <w:right w:val="none" w:sz="0" w:space="0" w:color="auto"/>
      </w:divBdr>
    </w:div>
    <w:div w:id="489907473">
      <w:bodyDiv w:val="1"/>
      <w:marLeft w:val="0"/>
      <w:marRight w:val="0"/>
      <w:marTop w:val="0"/>
      <w:marBottom w:val="0"/>
      <w:divBdr>
        <w:top w:val="none" w:sz="0" w:space="0" w:color="auto"/>
        <w:left w:val="none" w:sz="0" w:space="0" w:color="auto"/>
        <w:bottom w:val="none" w:sz="0" w:space="0" w:color="auto"/>
        <w:right w:val="none" w:sz="0" w:space="0" w:color="auto"/>
      </w:divBdr>
    </w:div>
    <w:div w:id="1032270683">
      <w:bodyDiv w:val="1"/>
      <w:marLeft w:val="0"/>
      <w:marRight w:val="0"/>
      <w:marTop w:val="0"/>
      <w:marBottom w:val="0"/>
      <w:divBdr>
        <w:top w:val="none" w:sz="0" w:space="0" w:color="auto"/>
        <w:left w:val="none" w:sz="0" w:space="0" w:color="auto"/>
        <w:bottom w:val="none" w:sz="0" w:space="0" w:color="auto"/>
        <w:right w:val="none" w:sz="0" w:space="0" w:color="auto"/>
      </w:divBdr>
    </w:div>
    <w:div w:id="1204638451">
      <w:bodyDiv w:val="1"/>
      <w:marLeft w:val="0"/>
      <w:marRight w:val="0"/>
      <w:marTop w:val="0"/>
      <w:marBottom w:val="0"/>
      <w:divBdr>
        <w:top w:val="none" w:sz="0" w:space="0" w:color="auto"/>
        <w:left w:val="none" w:sz="0" w:space="0" w:color="auto"/>
        <w:bottom w:val="none" w:sz="0" w:space="0" w:color="auto"/>
        <w:right w:val="none" w:sz="0" w:space="0" w:color="auto"/>
      </w:divBdr>
    </w:div>
    <w:div w:id="1296444907">
      <w:bodyDiv w:val="1"/>
      <w:marLeft w:val="0"/>
      <w:marRight w:val="0"/>
      <w:marTop w:val="0"/>
      <w:marBottom w:val="0"/>
      <w:divBdr>
        <w:top w:val="none" w:sz="0" w:space="0" w:color="auto"/>
        <w:left w:val="none" w:sz="0" w:space="0" w:color="auto"/>
        <w:bottom w:val="none" w:sz="0" w:space="0" w:color="auto"/>
        <w:right w:val="none" w:sz="0" w:space="0" w:color="auto"/>
      </w:divBdr>
    </w:div>
    <w:div w:id="1578176323">
      <w:bodyDiv w:val="1"/>
      <w:marLeft w:val="0"/>
      <w:marRight w:val="0"/>
      <w:marTop w:val="0"/>
      <w:marBottom w:val="0"/>
      <w:divBdr>
        <w:top w:val="none" w:sz="0" w:space="0" w:color="auto"/>
        <w:left w:val="none" w:sz="0" w:space="0" w:color="auto"/>
        <w:bottom w:val="none" w:sz="0" w:space="0" w:color="auto"/>
        <w:right w:val="none" w:sz="0" w:space="0" w:color="auto"/>
      </w:divBdr>
    </w:div>
    <w:div w:id="1693146562">
      <w:bodyDiv w:val="1"/>
      <w:marLeft w:val="0"/>
      <w:marRight w:val="0"/>
      <w:marTop w:val="0"/>
      <w:marBottom w:val="0"/>
      <w:divBdr>
        <w:top w:val="none" w:sz="0" w:space="0" w:color="auto"/>
        <w:left w:val="none" w:sz="0" w:space="0" w:color="auto"/>
        <w:bottom w:val="none" w:sz="0" w:space="0" w:color="auto"/>
        <w:right w:val="none" w:sz="0" w:space="0" w:color="auto"/>
      </w:divBdr>
    </w:div>
    <w:div w:id="1762801080">
      <w:bodyDiv w:val="1"/>
      <w:marLeft w:val="0"/>
      <w:marRight w:val="0"/>
      <w:marTop w:val="0"/>
      <w:marBottom w:val="0"/>
      <w:divBdr>
        <w:top w:val="none" w:sz="0" w:space="0" w:color="auto"/>
        <w:left w:val="none" w:sz="0" w:space="0" w:color="auto"/>
        <w:bottom w:val="none" w:sz="0" w:space="0" w:color="auto"/>
        <w:right w:val="none" w:sz="0" w:space="0" w:color="auto"/>
      </w:divBdr>
    </w:div>
    <w:div w:id="1836144584">
      <w:bodyDiv w:val="1"/>
      <w:marLeft w:val="0"/>
      <w:marRight w:val="0"/>
      <w:marTop w:val="0"/>
      <w:marBottom w:val="0"/>
      <w:divBdr>
        <w:top w:val="none" w:sz="0" w:space="0" w:color="auto"/>
        <w:left w:val="none" w:sz="0" w:space="0" w:color="auto"/>
        <w:bottom w:val="none" w:sz="0" w:space="0" w:color="auto"/>
        <w:right w:val="none" w:sz="0" w:space="0" w:color="auto"/>
      </w:divBdr>
    </w:div>
    <w:div w:id="1991904579">
      <w:bodyDiv w:val="1"/>
      <w:marLeft w:val="0"/>
      <w:marRight w:val="0"/>
      <w:marTop w:val="0"/>
      <w:marBottom w:val="0"/>
      <w:divBdr>
        <w:top w:val="none" w:sz="0" w:space="0" w:color="auto"/>
        <w:left w:val="none" w:sz="0" w:space="0" w:color="auto"/>
        <w:bottom w:val="none" w:sz="0" w:space="0" w:color="auto"/>
        <w:right w:val="none" w:sz="0" w:space="0" w:color="auto"/>
      </w:divBdr>
    </w:div>
    <w:div w:id="21342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izqa.fahadha@ti.iter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FDB1-480D-4DC1-B220-62F157FE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ru_fahadha</dc:creator>
  <cp:keywords/>
  <dc:description/>
  <cp:lastModifiedBy>Rayhan Pahlevi</cp:lastModifiedBy>
  <cp:revision>5</cp:revision>
  <dcterms:created xsi:type="dcterms:W3CDTF">2019-12-27T16:06:00Z</dcterms:created>
  <dcterms:modified xsi:type="dcterms:W3CDTF">2019-12-28T03:10:00Z</dcterms:modified>
</cp:coreProperties>
</file>