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r>
    </w:p>
    <w:p>
      <w:pPr>
        <w:spacing/>
        <w:jc w:val="center"/>
        <w:rPr>
          <w:rFonts w:ascii="Times New Roman" w:hAnsi="Times New Roman" w:cs="Times New Roman"/>
        </w:rPr>
      </w:pPr>
      <w:r>
        <w:rPr>
          <w:rFonts w:ascii="Times New Roman" w:hAnsi="Times New Roman" w:cs="Times New Roman"/>
          <w:b/>
          <w:bCs/>
          <w:sz w:val="28"/>
          <w:szCs w:val="28"/>
        </w:rPr>
        <w:t>STRATEGI MAHASISWA DALAM MENGELOLA ENERGI AKADEMIK PADA PEMBELAJARAN FLEKSIBEL: STUDI FENOMENOLOGI</w:t>
      </w:r>
      <w:r>
        <w:rPr>
          <w:rFonts w:ascii="Times New Roman" w:hAnsi="Times New Roman" w:cs="Times New Roman"/>
        </w:rPr>
      </w:r>
    </w:p>
    <w:p>
      <w:pPr>
        <w:rPr>
          <w:rFonts w:ascii="Times New Roman" w:hAnsi="Times New Roman" w:cs="Times New Roman"/>
        </w:rPr>
      </w:pPr>
      <w:r>
        <w:rPr>
          <w:rFonts w:ascii="Times New Roman" w:hAnsi="Times New Roman" w:cs="Times New Roman"/>
        </w:rPr>
      </w:r>
    </w:p>
    <w:p>
      <w:pPr>
        <w:ind w:left="284"/>
        <w:spacing w:line="276" w:lineRule="auto"/>
        <w:jc w:val="center"/>
        <w:rPr>
          <w:rFonts w:ascii="Times New Roman" w:hAnsi="Times New Roman" w:eastAsia="Times New Roman" w:cs="Times New Roman"/>
        </w:rPr>
      </w:pPr>
      <w:r>
        <w:rPr>
          <w:rFonts w:ascii="Times New Roman" w:hAnsi="Times New Roman" w:eastAsia="Times New Roman" w:cs="Times New Roman"/>
        </w:rPr>
        <w:t>Dini Febriani</w:t>
      </w:r>
      <w:r>
        <w:rPr>
          <w:rFonts w:ascii="Times New Roman" w:hAnsi="Times New Roman" w:eastAsia="Times New Roman" w:cs="Times New Roman"/>
          <w:vertAlign w:val="superscript"/>
        </w:rPr>
        <w:t>1</w:t>
      </w:r>
      <w:r>
        <w:rPr>
          <w:rFonts w:ascii="Times New Roman" w:hAnsi="Times New Roman" w:eastAsia="Times New Roman" w:cs="Times New Roman"/>
        </w:rPr>
        <w:t>, Menur Kusumaningtyas</w:t>
      </w:r>
      <w:r>
        <w:rPr>
          <w:rFonts w:ascii="Times New Roman" w:hAnsi="Times New Roman" w:eastAsia="Times New Roman" w:cs="Times New Roman"/>
          <w:vertAlign w:val="superscript"/>
        </w:rPr>
        <w:t>2</w:t>
      </w:r>
      <w:r>
        <w:rPr>
          <w:rFonts w:ascii="Times New Roman" w:hAnsi="Times New Roman" w:eastAsia="Times New Roman" w:cs="Times New Roman"/>
        </w:rPr>
      </w:r>
    </w:p>
    <w:p>
      <w:pPr>
        <w:ind w:left="284"/>
        <w:spacing w:line="276"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vertAlign w:val="superscript"/>
        </w:rPr>
        <w:t>12</w:t>
      </w:r>
      <w:r>
        <w:rPr>
          <w:rFonts w:ascii="Times New Roman" w:hAnsi="Times New Roman" w:cs="Times New Roman"/>
          <w:sz w:val="20"/>
          <w:szCs w:val="20"/>
        </w:rPr>
        <w:t>Sekolah Tinggi Ilmu Ekonomi Mahardhika Surabaya, Indonesia</w:t>
      </w:r>
      <w:r>
        <w:rPr>
          <w:rFonts w:ascii="Times New Roman" w:hAnsi="Times New Roman" w:eastAsia="Times New Roman" w:cs="Times New Roman"/>
          <w:sz w:val="20"/>
          <w:szCs w:val="20"/>
        </w:rPr>
      </w:r>
    </w:p>
    <w:p>
      <w:pPr>
        <w:ind w:left="284"/>
        <w:spacing w:line="276" w:lineRule="auto"/>
        <w:jc w:val="center"/>
        <w:rPr>
          <w:rFonts w:ascii="Times New Roman" w:hAnsi="Times New Roman" w:eastAsia="Times New Roman" w:cs="Times New Roman"/>
          <w:color w:val="c9211e"/>
        </w:rPr>
      </w:pPr>
      <w:r>
        <w:rPr>
          <w:rFonts w:ascii="Times New Roman" w:hAnsi="Times New Roman" w:eastAsia="Times New Roman" w:cs="Times New Roman"/>
          <w:sz w:val="20"/>
          <w:szCs w:val="20"/>
          <w:vertAlign w:val="superscript"/>
        </w:rPr>
        <w:t>*</w:t>
      </w:r>
      <w:r>
        <w:rPr>
          <w:rFonts w:ascii="Times New Roman" w:hAnsi="Times New Roman" w:eastAsia="Times New Roman" w:cs="Times New Roman"/>
          <w:sz w:val="20"/>
          <w:szCs w:val="20"/>
        </w:rPr>
        <w:t xml:space="preserve">Email Penulis Korespondensi: </w:t>
      </w:r>
      <w:hyperlink r:id="rId7" w:history="1">
        <w:r>
          <w:rPr>
            <w:rStyle w:val="char3"/>
            <w:rFonts w:ascii="Times New Roman" w:hAnsi="Times New Roman" w:eastAsia="Times New Roman" w:cs="Times New Roman"/>
            <w:sz w:val="20"/>
            <w:szCs w:val="20"/>
          </w:rPr>
          <w:t>dfebriani380@gmail.com</w:t>
        </w:r>
      </w:hyperlink>
      <w:r>
        <w:rPr>
          <w:rFonts w:ascii="Times New Roman" w:hAnsi="Times New Roman" w:eastAsia="Times New Roman" w:cs="Times New Roman"/>
          <w:color w:val="c9211e"/>
        </w:rPr>
        <w:t xml:space="preserve"> </w:t>
      </w:r>
      <w:r>
        <w:rPr>
          <w:rFonts w:ascii="Times New Roman" w:hAnsi="Times New Roman" w:eastAsia="Times New Roman" w:cs="Times New Roman"/>
          <w:color w:val="c9211e"/>
        </w:rPr>
      </w:r>
    </w:p>
    <w:p>
      <w:pPr>
        <w:ind w:left="284"/>
        <w:spacing/>
        <w:jc w:val="center"/>
      </w:pPr>
      <w:r/>
    </w:p>
    <w:p>
      <w:pPr>
        <w:ind w:left="284"/>
        <w:spacing w:line="276" w:lineRule="auto"/>
        <w:jc w:val="center"/>
        <w:rPr>
          <w:rFonts w:ascii="Times New Roman" w:hAnsi="Times New Roman" w:eastAsia="Times New Roman" w:cs="Times New Roman"/>
          <w:b/>
          <w:bCs/>
        </w:rPr>
      </w:pPr>
      <w:r>
        <w:rPr>
          <w:rFonts w:ascii="Times New Roman" w:hAnsi="Times New Roman" w:eastAsia="Times New Roman" w:cs="Times New Roman"/>
          <w:b/>
          <w:bCs/>
        </w:rPr>
        <w:t>Abstrak</w:t>
      </w:r>
    </w:p>
    <w:p>
      <w:pPr>
        <w:ind w:left="284"/>
        <w:spacing w:line="276" w:lineRule="auto"/>
        <w:jc w:val="both"/>
        <w:rPr>
          <w:rFonts w:ascii="Times New Roman" w:hAnsi="Times New Roman" w:cs="Times New Roman"/>
        </w:rPr>
      </w:pPr>
      <w:r>
        <w:rPr>
          <w:rFonts w:ascii="Times New Roman" w:hAnsi="Times New Roman" w:cs="Times New Roman"/>
        </w:rPr>
        <w:t>Perubahan sistem pendidikan pada era digital mendorong perguruan tinggi menerapkan pembelajaran fleksibel sebagai bentuk adaptasi terhadap perkembangan teknologi dan kebutuhan belajar mahasiswa. Di sisi lain, pembelajaran fleksibel juga menghadirkan tantangan berupa distraksi digital, academic burnout, penurunan motivasi belajar, serta kesulitan mahasiswa menjaga keseimbangan akademik dan kehidupan pribadi. Penelitian ini bertujuan memahami strategi mahasiswa dalam mengelola energi akademik pada pembelajaran fleksibel. Penelitian menggunakan metode kualitatif dengan pendekatan fenomenologi. Informan penelitian terdiri dari enam mahasiswa Program Studi Manajemen semester 6 STIE Mahardhika yang dipilih menggunakan teknik purposive sampling. Pengumpulan data dilakukan melalui wawancara mendalam, observasi, dan dokumentasi. Temuan penelitian memperlihatkan bahwa fleksibilitas pembelajaran tidak selalu memberikan kenyamanan belajar, tetapi juga dapat meningkatkan tekanan psikologis mahasiswa apabila tidak diimbangi kemampuan self-management yang baik. Hasil penelitian menunjukkan bahwa mahasiswa memaknai energi akademik sebagai kemampuan menjaga fokus, motivasi, semangat belajar, dan kestabilan mental selama menjalani aktivitas akademik. Mahasiswa menerapkan strategi seperti manajemen waktu, self-reward, menjaga kesehatan mental, menciptakan lingkungan belajar yang nyaman, dan membangun dukungan sosial dengan teman sebaya. Penelitian ini menunjukkan bahwa kemampuan manajemen diri menjadi faktor penting dalam mempertahankan keterlibatan akademik mahasiswa pada pembelajaran fleksibel.</w:t>
      </w:r>
    </w:p>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b/>
          <w:bCs/>
        </w:rPr>
      </w:r>
    </w:p>
    <w:p>
      <w:pPr>
        <w:ind w:left="284"/>
        <w:spacing w:line="276" w:lineRule="auto"/>
        <w:jc w:val="both"/>
        <w:rPr>
          <w:rFonts w:ascii="Times New Roman" w:hAnsi="Times New Roman" w:cs="Times New Roman"/>
        </w:rPr>
      </w:pPr>
      <w:r>
        <w:rPr>
          <w:rFonts w:ascii="Times New Roman" w:hAnsi="Times New Roman" w:eastAsia="Times New Roman" w:cs="Times New Roman"/>
          <w:b/>
          <w:bCs/>
        </w:rPr>
        <w:t xml:space="preserve">Kata kunci: </w:t>
      </w:r>
      <w:r>
        <w:rPr>
          <w:rFonts w:ascii="Times New Roman" w:hAnsi="Times New Roman" w:cs="Times New Roman"/>
        </w:rPr>
        <w:t>: energi akademik, pembelajaran fleksibel, fenomenologi, mahasiswa, manajemen diri</w:t>
      </w:r>
    </w:p>
    <w:p>
      <w:pPr>
        <w:ind w:left="284"/>
        <w:spacing w:line="276" w:lineRule="auto"/>
        <w:jc w:val="both"/>
        <w:rPr>
          <w:rFonts w:ascii="Times New Roman" w:hAnsi="Times New Roman" w:cs="Times New Roman"/>
        </w:rPr>
      </w:pPr>
      <w:r>
        <w:rPr>
          <w:rFonts w:ascii="Times New Roman" w:hAnsi="Times New Roman" w:cs="Times New Roman"/>
        </w:rPr>
      </w:r>
    </w:p>
    <w:p>
      <w:pPr>
        <w:ind w:left="284"/>
        <w:spacing w:line="276" w:lineRule="auto"/>
        <w:jc w:val="center"/>
        <w:rPr>
          <w:rFonts w:ascii="Times New Roman" w:hAnsi="Times New Roman" w:eastAsia="Times New Roman" w:cs="Times New Roman"/>
          <w:b/>
          <w:bCs/>
          <w:i/>
          <w:iCs/>
        </w:rPr>
      </w:pPr>
      <w:r>
        <w:rPr>
          <w:rFonts w:ascii="Times New Roman" w:hAnsi="Times New Roman" w:eastAsia="Times New Roman" w:cs="Times New Roman"/>
          <w:b/>
          <w:bCs/>
          <w:i/>
          <w:iCs/>
        </w:rPr>
        <w:t>Abstract</w:t>
      </w:r>
    </w:p>
    <w:p>
      <w:pPr>
        <w:ind w:left="284"/>
        <w:spacing w:line="276" w:lineRule="auto"/>
        <w:jc w:val="both"/>
        <w:rPr>
          <w:rFonts w:ascii="Times New Roman" w:hAnsi="Times New Roman" w:eastAsia="Times New Roman" w:cs="Times New Roman"/>
          <w:i/>
          <w:iCs/>
        </w:rPr>
      </w:pPr>
      <w:r>
        <w:rPr>
          <w:rFonts w:ascii="Times New Roman" w:hAnsi="Times New Roman" w:eastAsia="Times New Roman" w:cs="Times New Roman"/>
          <w:i/>
          <w:iCs/>
        </w:rPr>
        <w:t>Changes in the education system in the digital era have encouraged universities to implement flexible learning as a form of adaptation to technological developments and student learning needs. On the other hand, flexible learning also presents challenges such as digital distractions, academic burnout, decreased learning motivation, and students' difficulties in maintaining academic and personal life balance. This study aims to understand students' strategies in managing academic energy in flexible learning. The study used a qualitative method with a phenomenological approach. The research informants consisted of six sixth-semester Management Study Program students from STIE Mahardhika who were selected using a purposive sampling technique. Data collection was conducted through in-depth interviews, observation, and documentation. The research findings show that flexible learning does not always provide comfortable learning but can also increase psychological stress for students if not balanced with good self-management skills. The results show that students define academic energy as the ability to maintain focus, motivation, enthusiasm for learning, and mental stability during academic activities. Students apply strategies such as time management, self-reward, maintaining mental health, creating a comfortable learning environment, and building social support with peers. This study indicates that self-management skills are an important factor in maintaining students' academic engagement in flexible learning.</w:t>
      </w:r>
    </w:p>
    <w:p>
      <w:pPr>
        <w:ind w:left="284"/>
        <w:spacing w:line="276" w:lineRule="auto"/>
        <w:jc w:val="both"/>
        <w:rPr>
          <w:rFonts w:ascii="Times New Roman" w:hAnsi="Times New Roman" w:eastAsia="Times New Roman" w:cs="Times New Roman"/>
          <w:i/>
          <w:iCs/>
        </w:rPr>
      </w:pPr>
      <w:r>
        <w:rPr>
          <w:rFonts w:ascii="Times New Roman" w:hAnsi="Times New Roman" w:eastAsia="Times New Roman" w:cs="Times New Roman"/>
          <w:i/>
          <w:iCs/>
        </w:rPr>
      </w:r>
    </w:p>
    <w:p>
      <w:pPr>
        <w:ind w:left="284"/>
        <w:spacing w:line="276" w:lineRule="auto"/>
        <w:jc w:val="both"/>
        <w:rPr>
          <w:rFonts w:ascii="Times New Roman" w:hAnsi="Times New Roman" w:cs="Times New Roman"/>
        </w:rPr>
      </w:pPr>
      <w:r>
        <w:rPr>
          <w:rFonts w:ascii="Times New Roman" w:hAnsi="Times New Roman" w:eastAsia="Times New Roman" w:cs="Times New Roman"/>
          <w:b/>
          <w:bCs/>
          <w:i/>
          <w:iCs/>
        </w:rPr>
        <w:t xml:space="preserve">Keywords: </w:t>
      </w:r>
      <w:r>
        <w:rPr>
          <w:rFonts w:ascii="Times New Roman" w:hAnsi="Times New Roman" w:eastAsia="Times New Roman" w:cs="Times New Roman"/>
          <w:i/>
          <w:iCs/>
        </w:rPr>
        <w:t>academic energy, flexible learning, phenomenology, students, self-management</w:t>
      </w:r>
      <w:r>
        <w:rPr>
          <w:rFonts w:ascii="Times New Roman" w:hAnsi="Times New Roman" w:cs="Times New Roman"/>
        </w:rPr>
      </w:r>
    </w:p>
    <w:p>
      <w:pPr>
        <w:ind w:left="284"/>
        <w:spacing w:line="276" w:lineRule="auto"/>
        <w:jc w:val="both"/>
        <w:rPr>
          <w:rFonts w:ascii="Times New Roman" w:hAnsi="Times New Roman" w:eastAsia="Times New Roman" w:cs="Times New Roman"/>
        </w:rPr>
      </w:pPr>
      <w:r>
        <w:rPr>
          <w:rFonts w:ascii="Times New Roman" w:hAnsi="Times New Roman" w:eastAsia="Times New Roman" w:cs="Times New Roman"/>
        </w:rPr>
      </w:r>
    </w:p>
    <w:p>
      <w:pPr>
        <w:ind w:left="284"/>
        <w:spacing w:line="276" w:lineRule="auto"/>
        <w:jc w:val="both"/>
        <w:rPr>
          <w:rFonts w:ascii="Times New Roman" w:hAnsi="Times New Roman" w:eastAsia="Times New Roman" w:cs="Times New Roman"/>
        </w:rPr>
      </w:pPr>
      <w:r>
        <w:rPr>
          <w:rFonts w:ascii="Times New Roman" w:hAnsi="Times New Roman" w:eastAsia="Times New Roman" w:cs="Times New Roman"/>
          <w:b/>
          <w:bCs/>
        </w:rPr>
        <w:t xml:space="preserve">Pendahuluan </w:t>
      </w:r>
      <w:r>
        <w:rPr>
          <w:rFonts w:ascii="Times New Roman" w:hAnsi="Times New Roman" w:eastAsia="Times New Roman" w:cs="Times New Roman"/>
        </w:rPr>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Bidang pendidikan, khususnya sistem pendidikan tinggi, telah mengalami transformasi yang signifikan sebagai akibat dari kemajuan teknologi digital. Perubahan tersebut menunjukkan bahwa mahasiswa tidak hanya dituntut memiliki kemampuan akademik, tetapi juga kemampuan adaptasi terhadap perkembangan teknologi dan perubahan pola pembelajaran pada era digital (Kusumaningtyas, 2019). Teknologi pembelajaran fleksibel yang memungkinkan mahasiswa belajar tanpa terikat oleh waktu atau lokasi kini mulai menggantikan sesi pembelajaran tatap muka yang terjadwal. Sistem pembelajaran fleksibel memberikan keleluasaan kepada mahasiswa dalam mengakses materi, menentukan waktu belajar, serta menyelesaikan tugas akademik sesuai kebutuhan masing-masing (Timario &amp; Lomibao, 2023).</w:t>
      </w:r>
      <w:r>
        <w:rPr>
          <w:rFonts w:ascii="Times New Roman" w:hAnsi="Times New Roman" w:eastAsia="Times New Roman" w:cs="Times New Roman"/>
        </w:rPr>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Bagi sebagian mahasiswa, fleksibilitas tersebut memberikan kemudahan karena proses belajar dapat dilakukan secara lebih mandiri dan efisien. Namun, di sisi lain pembelajaran fleksibel juga menghadirkan tantangan baru yang tidak sederhana. Kebebasan belajar sering kali membuat mahasiswa kesulitan menjaga konsistensi belajar, mengalami distraksi digital, serta sulit membagi waktu antara aktivitas akademik dan kehidupan pribadi. Tidak sedikit mahasiswa yang merasa lebih mudah kehilangan fokus akibat penggunaan media sosial dan penggunaan gadget yang berlebihan selama proses pembelajaran berlangsung.</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Meningkatnya penggunaan teknologi digital dalam kehidupan sehari-hari mahasiswa juga berdampak pada perubahan kebiasaan belajar di perguruan tinggi. Mahasiswa saat ini menggunakan teknologi tidak hanya sebagai alat komunikasi, tetapi juga sebagai komponen utama dalam proses belajar, pencarian informasi, dan penyelesaian tugas akademik. Akibat perkembangan ini, mahasiswa semakin terbiasa dengan sistem pembelajaran digital dan adaptif. Kelelahan digital, suatu kondisi yang disebabkan oleh penggunaan gadget elektronik secara terus-menerus baik untuk tujuan akademik maupun non-akademik, merupakan konsekuensi lain dari meningkatnya intensitas penggunaan teknologi.</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Karena dapat berdampak pada kesehatan psikologis dan prestasi akademik mahasiswa, masalah kelelahan digital di kalangan mahasiswa semakin mendapat perhatian. Penggunaan gadget dalam jangka panjang sering kali mengakibatkan berkurangnya konsentrasi, masalah tidur, kelelahan emosional, dan kesulitan mempertahankan motivasi untuk belajar. Ketika mahasiswa harus mengelola tuntutan akademik yang ketat dalam sistem pembelajaran yang fleksibel, masalah ini menjadi semakin rumit. Penggunaan teknologi digital yang berlebihan di dalam kelas dapat menyebabkan stres psikologis dan menurunkan keterlibatan akademik, menurut penelitian yang dilakukan oleh Sari dan Nugroho (2022). Kondisi tersebut sejalan dengan penelitian Lee et al. (2021) yang menjelaskan bahwa penggunaan pembelajaran digital dalam jangka panjang dapat meningkatkan stres akademik dan kelelahan emosional mahasiswa.</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Selain itu, salah satu kendala dalam pembelajaran fleksibel adalah budaya multitasking di kalangan mahasiswa. Banyak mahasiswa yang bekerja dan mengikuti perkuliahan secara bersamaan, aktif dalam organisasi kemahasiswaan, menyelesaikan magang, serta menggunakan media sosial secara bersamaan. Mahasiswa yang melakukan hal ini cenderung mengalami kelelahan mental akibat harus membagi fokus dan daya pikir mereka ke berbagai tugas. Jika kondisi ini terus berlanjut, mahasiswa mungkin akan kesulitan menjaga keseimbangan emosional dan mengalami penurunan prestasi akademik.</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Hal ini menunjukkan bahwa pembelajaran fleksibel tidak hanya menuntut kemampuan akademik, tetapi juga kemampuan mahasiswa dalam mengelola diri dan mempertahankan energi akademiknya. Energi akademik menjadi aspek penting dalam keberlangsungan proses belajar mahasiswa karena berkaitan dengan motivasi, fokus, semangat belajar, serta daya tahan mental dalam menghadapi tuntutan akademik. Mahasiswa yang memiliki energi akademik yang baik cenderung mampu mempertahankan produktivitas belajar dan menghadapi tekanan akademik secara lebih positif. Sebaliknya, mahasiswa yang mengalami penurunan energi akademik lebih rentan mengalami academic burnout, kehilangan motivasi belajar, dan penurunan keterlibatan akademik (Maslach &amp; Leiter, 2021).</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Fenomena academic burnout pada mahasiswa semakin sering ditemukan sejak berkembangnya sistem pembelajaran digital. Tugas akademik yang terus meningkat, penggunaan teknologi secara terus-menerus, serta tuntutan untuk tetap produktif membuat mahasiswa mudah mengalami kelelahan emosional dan mental. Selain itu, batas antara waktu belajar dan waktu pribadi yang semakin kabur pada sistem pembelajaran fleksibel juga menjadi penyebab meningkatnya tekanan psikologis mahasiswa. Penelitian Tersta et al. (2023) menjelaskan bahwa pembelajaran digital memberikan fleksibilitas bagi mahasiswa, tetapi pada saat yang sama juga memunculkan tekanan mental berupa penurunan motivasi belajar dan kelelahan akademik.</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Perubahan pola pembelajaran pada era digital juga membuat mahasiswa mengalami perubahan kebiasaan belajar yang cukup signifikan. Mahasiswa tidak lagi bergantung sepenuhnya pada pembelajaran di ruang kelas, tetapi mulai terbiasa memperoleh materi melalui video pembelajaran, platform digital, media sosial, dan berbagai sumber informasi daring lainnya. Kondisi tersebut membuat proses belajar menjadi lebih fleksibel, namun sekaligus meningkatkan tuntutan kemandirian belajar mahasiswa. Tidak semua mahasiswa mampu beradaptasi dengan perubahan tersebut secara optimal, terutama mahasiswa yang belum memiliki kemampuan pengelolaan diri dan disiplin belajar yang baik.</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Selain itu, pembelajaran fleksibel juga memunculkan fenomena learning overload pada mahasiswa. Mahasiswa sering kali menerima berbagai tugas akademik dalam waktu yang bersamaan tanpa memiliki batas waktu belajar yang jelas. Situasi tersebut menyebabkan mahasiswa merasa terus berada dalam tekanan akademik karena aktivitas belajar dapat berlangsung kapan saja. Kondisi ini berbeda dengan pembelajaran konvensional yang memiliki batas waktu akademik yang lebih terstruktur. Akibatnya, mahasiswa menjadi lebih rentan mengalami kelelahan mental dan penurunan energi akademik.</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Situasi tersebut menggambarkan bahwa keberhasilan pembelajaran fleksibel tidak hanya bergantung pada teknologi yang digunakan, tetapi juga pada kesiapan psikologis mahasiswa dalam menjalani sistem pembelajaran tersebut. Mahasiswa yang mampu mengelola waktu, emosi, dan motivasi belajar secara mandiri cenderung lebih mampu mempertahankan keterlibatan akademik dibandingkan mahasiswa yang belum memiliki kemampuan self-management yang baik.</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Fenomena tersebut juga terlihat pada mahasiswa Program Studi Manajemen semester 6 STIE Mahardhika. Berdasarkan observasi awal selama kegiatan magang sebagai asisten dosen di LPPM STIE Mahardhika, ditemukan bahwa mahasiswa memiliki pengalaman yang berbeda-beda dalam mempertahankan semangat belajar selama menjalani pembelajaran fleksibel. Sebagian mahasiswa mampu mengatur waktu belajar dengan baik dan tetap aktif mengikuti perkuliahan, sedangkan sebagian lainnya merasa kesulitan menjaga fokus belajar akibat distraksi media sosial, aktivitas organisasi, pekerjaan sampingan, maupun tekanan akademik yang semakin meningkat.</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Mahasiswa semester 6 berada pada fase akademik yang cukup kompleks karena mulai menghadapi tugas penelitian, kegiatan magang, organisasi, serta persiapan memasuki dunia kerja. Kondisi tersebut membuat mahasiswa membutuhkan kemampuan self-management yang lebih baik agar mampu menjaga keseimbangan antara tuntutan akademik dan kehidupan pribadi. Jika mahasiswa tidak mampu mengelola energi akademiknya dengan baik, maka mahasiswa akan lebih mudah mengalami kelelahan mental, kehilangan motivasi, dan penurunan produktivitas akademik.</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Penelitian terdahulu umumnya membahas pembelajaran fleksibel dari sisi efektivitas pembelajaran daring, penggunaan Learning Management System (LMS), motivasi belajar, dan academic burnout mahasiswa. Penelitian mengenai strategi mahasiswa dalam mengelola energi akademik pada pembelajaran fleksibel masih relatif terbatas, terutama dengan pendekatan fenomenologi yang berfokus pada pengalaman subjektif mahasiswa. Selain itu, penelitian yang secara khusus meneliti mahasiswa semester 6 sebagai kelompok yang menghadapi tekanan akademik dan transisi karier juga belum banyak dilakukan.</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Berbeda dengan penelitian sebelumnya yang lebih banyak menyoroti efektivitas pembelajaran daring dan motivasi belajar secara umum, penelitian ini secara khusus menekankan pengalaman subjektif mahasiswa dalam mempertahankan energi akademik pada sistem pembelajaran fleksibel. Fokus pada mahasiswa semester 6 juga menjadi pembeda karena mahasiswa pada fase ini menghadapi tekanan akademik dan transisi karier yang lebih kompleks dibanding semester sebelumnya.</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Meskipun telah banyak penelitian mengenai pembelajaran fleksibel, sebagian besar studi masih berfokus pada efektivitas sistem pembelajaran daring, kepuasan mahasiswa terhadap penggunaan teknologi pembelajaran, serta dampak pembelajaran digital terhadap hasil belajar. Penelitian yang mengkaji pengalaman subjektif mahasiswa dalam mempertahankan motivasi akademik dalam sistem pembelajaran fleksibel masih relatif terbatas, terutama di kalangan mahasiswa tingkat akhir yang menghadapi tekanan akademik dan emosional yang lebih kompleks.</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Selain itu, sebagian besar studi sebelumnya menggunakan pendekatan kuantitatif yang berfokus pada pengukuran tingkat motivasi atau kelelahan akademik. Pendekatan semacam itu belum mampu menangkap secara mendalam bagaimana mahasiswa menafsirkan pengalaman mereka dalam mempertahankan antusiasme belajar, mengatasi tekanan akademik, dan mengembangkan strategi untuk mengelola energi akademik dalam kehidupan sehari-hari. Oleh karena itu, pendekatan fenomenologis dalam studi ini sangat penting untuk memahami pengalaman nyata mahasiswa secara lebih mendalam dan kontekstual.</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Penelitian ini menawarkan kebaruan dengan mengkaji strategi mahasiswa dalam mengelola energi akademik pada pembelajaran fleksibel melalui pendekatan fenomenologi berdasarkan pengalaman langsung mahasiswa Program Studi Manajemen semester 6 STIE Mahardhika. Penelitian ini tidak hanya membahas motivasi belajar atau burnout akademik, tetapi juga menggali bagaimana mahasiswa mempertahankan energi akademik melalui strategi manajemen diri, pengelolaan emosi, dan dukungan sosial pada era pembelajaran fleksibel.</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Berdasarkan kondisi tersebut, penelitian ini bertujuan untuk memahami bagaimana mahasiswa memaknai energi akademik, mengetahui tantangan yang dihadapi selama pembelajaran fleksibel, serta menganalisis strategi mahasiswa dalam mengelola energi akademik pada pembelajaran fleksibel..</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r>
    </w:p>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b/>
          <w:bCs/>
        </w:rPr>
        <w:t xml:space="preserve">Kajian Pustaka </w:t>
      </w:r>
    </w:p>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b/>
          <w:bCs/>
        </w:rPr>
        <w:t>Energi Akademik</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Energi akademik merupakan kemampuan mahasiswa dalam mempertahankan motivasi, fokus, semangat belajar, dan ketahanan mental selama menjalani aktivitas akademik. Energi akademik tidak hanya berkaitan dengan kondisi fisik, tetapi juga kondisi emosional dan psikologis mahasiswa dalam menghadapi tuntutan pembelajaran. Mahasiswa yang memiliki energi akademik yang baik cenderung mampu mempertahankan keterlibatan akademik dan produktivitas belajar secara konsisten (Maslach &amp; Leiter, 2021).</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Menurut Schaufeli (2021), keterlibatan akademik mahasiswa dipengaruhi oleh kondisi psikologis yang positif, seperti semangat belajar, antusiasme, dan kemampuan mempertahankan fokus akademik. Sebaliknya, mahasiswa yang mengalami tekanan akademik berkepanjangan lebih rentan mengalami kelelahan mental dan penurunan motivasi belajar.</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Energi akademik juga berkaitan dengan keterlibatan akademik mahasiswa dalam proses pembelajaran secara aktif. Mahasiswa yang memiliki energi akademik tinggi biasanya menunjukkan antusiasme dalam belajar, partisipasi aktif di kelas, dan kemampuan untuk tetap fokus saat mengerjakan tugas-tugas akademik. Sebaliknya, siswa yang mengalami penurunan energi akademik cenderung menunda-nunda, kehilangan motivasi, dan mengalami penurunan kualitas pembelajaran mereka.</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Menurut Fredricks dkk. (2022), keterlibatan akademik mahasiswa dipengaruhi oleh faktor internal dan eksternal, seperti motivasi belajar, kesejahteraan psikologis, lingkungan sosial, serta dukungan akademik dari dosen dan sesama mahasiswa. Oleh karena itu, keterlibatan akademik tidak dapat dipisahkan dari kesejahteraan emosional mahasiswa dan lingkungan belajar mereka. Kahu dan Nelson (2020) menjelaskan bahwa keterlibatan akademik mahasiswa dipengaruhi oleh interaksi antara kondisi psikologis, lingkungan belajar, dan dukungan sosial.</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r>
    </w:p>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b/>
          <w:bCs/>
        </w:rPr>
        <w:t>Pembelajaran Fleksibel</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Pembelajaran fleksibel merupakan pendekatan pembelajaran yang memberikan kebebasan kepada mahasiswa dalam menentukan waktu, tempat, metode, dan kecepatan belajar sesuai kebutuhan masing-masing. Sistem pembelajaran fleksibel berkembang pesat setelah meningkatnya penggunaan teknologi digital dalam pendidikan tinggi (Timario &amp; Lomibao, 2023).</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Pembelajaran fleksibel memberikan manfaat berupa kemudahan akses pembelajaran dan peningkatan kemandirian belajar mahasiswa. Namun, sistem ini juga memunculkan tantangan seperti distraksi digital, penurunan fokus belajar, kesulitan menjaga ritme akademik, dan meningkatnya kelelahan mental akibat penggunaan teknologi secara terus-menerus. Dhawan (2020) menjelaskan bahwa pembelajaran daring memberikan fleksibilitas yang tinggi, namun juga meningkatkan tuntutan belajar mandiri dan kesiapan psikologis mahasiswa.</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Dalam praktiknya, pembelajaran fleksibel tidak selalu memberikan dampak positif bagi seluruh mahasiswa. Sebagian mahasiswa mampu beradaptasi dengan baik karena mereka memiliki keterampilan belajar mandiri yang kuat dan kemampuan manajemen waktu yang baik. Namun, mahasiswa lainnya kesulitan menjaga konsistensi dalam belajar mereka akibat kurangnya pengawasan akademis secara langsung. Situasi ini menunjukkan bahwa keberhasilan pembelajaran fleksibel sangat dipengaruhi oleh kemampuan mahasiswa dalam mengelola proses belajar mereka sendiri.</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Selain itu, pembelajaran fleksibel juga telah mengubah pola interaksi sosial di antara para mahasiswa. Berkurangnya interaksi tatap muka membuat sebagian mahasiswa merasa kurang mendapat dukungan sosial saat menjalankan kegiatan akademik mereka. Padahal, dukungan sosial merupakan salah satu faktor kunci dalam menjaga motivasi dan kesejahteraan mental mahasiswa selama proses pembelajaran.</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r>
    </w:p>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b/>
          <w:bCs/>
        </w:rPr>
        <w:t>Manajemen Diri (Self-Management)</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Manajemen diri merupakan kemampuan individu dalam mengatur, mengontrol, dan mengarahkan perilaku diri untuk mencapai tujuan tertentu secara efektif. Menurut Manz (2020), self-management mencakup kemampuan mengatur waktu, mengontrol perilaku, menjaga motivasi, serta mengembangkan disiplin diri dalam menjalankan aktivitas sehari-hari.</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Dalam pembelajaran fleksibel, kemampuan manajemen diri menjadi faktor penting karena mahasiswa dituntut lebih mandiri dalam mengatur jadwal belajar, menjaga fokus, dan mempertahankan energi akademik. Kemampuan pengelolaan diri membantu individu dalam mengatur perilaku, menentukan prioritas, dan mempertahankan konsistensi terhadap tujuan yang ingin dicapai dalam aktivitas sehari-hari (Kusumaningtyas et al., 2022). Mahasiswa yang memiliki kemampuan self-management yang baik umumnya lebih mampu menghadapi tekanan akademik dibandingkan mahasiswa yang belum mampu mengelola dirinya secara optimal.</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Kemampuan self-management pada mahasiswa juga berkaitan dengan kemampuan mengontrol distraksi selama proses pembelajaran berlangsung. Dalam sistem pembelajaran fleksibel, mahasiswa memiliki akses yang sangat dekat dengan media sosial dan berbagai bentuk hiburan digital lainnya. Kondisi tersebut membuat mahasiswa dituntut mampu mengontrol perilaku belajar secara mandiri agar tetap fokus terhadap aktivitas akademik. Mahasiswa yang memiliki kemampuan pengelolaan diri yang baik cenderung lebih mampu menentukan prioritas akademik dan menjaga konsistensi belajar.</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Selain itu, self-management juga membantu mahasiswa dalam menjaga kesehatan mental selama menjalani aktivitas akademik. Mahasiswa yang mampu mengelola dirinya dengan baik umumnya lebih mampu mengenali kondisi emosionalnya, mengatur waktu istirahat, dan mengurangi tekanan akademik secara lebih sehat. Oleh karena itu, kemampuan manajemen diri tidak hanya berfungsi untuk meningkatkan produktivitas belajar, tetapi juga membantu mahasiswa menjaga keseimbangan emosional pada pembelajaran fleksibel.</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r>
    </w:p>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b/>
          <w:bCs/>
        </w:rPr>
        <w:t>Fenomenologi</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Fenomenologi merupakan pendekatan penelitian kualitatif yang bertujuan memahami pengalaman hidup individu terhadap suatu fenomena secara mendalam. Pendekatan fenomenologi digunakan untuk menggali pengalaman subjektif mahasiswa terkait strategi mereka dalam mengelola energi akademik selama menjalani pembelajaran fleksibel (Creswell &amp; Poth, 2021).</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Melalui pendekatan fenomenologi, peneliti dapat memahami bagaimana mahasiswa memaknai pengalaman akademiknya, menghadapi tekanan pembelajaran fleksibel, serta membangun strategi untuk mempertahankan semangat dan motivasi belajar. Pendekatan fenomenologi memungkinkan peneliti memahami pengalaman subjektif individu secara lebih mendalam berdasarkan pengalaman hidup yang dialami secara langsung (Kusumaningtyas, 2019).</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Berdasarkan kajian teori tersebut, dapat dipahami bahwa energi akademik mahasiswa pada pembelajaran fleksibel dipengaruhi oleh kemampuan manajemen diri, kondisi psikologis, serta lingkungan sosial mahasiswa. Oleh karena itu, penelitian ini berupaya memahami pengalaman mahasiswa secara langsung dalam mempertahankan energi akademik selama menjalani pembelajaran fleksibel.</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r>
    </w:p>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b/>
          <w:bCs/>
        </w:rPr>
        <w:t xml:space="preserve">Metode </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Penelitian ini menggunakan pendekatan fenomenologis dan metodologi penelitian kualitatif. Karena tujuan penelitian ini adalah untuk memperoleh pemahaman yang komprehensif mengenai pengalaman hidup mahasiswa terkait teknik yang mereka gunakan untuk mengelola energi akademik selama mengikuti pembelajaran fleksibel, maka metodologi fenomenologis dipilih.</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Mahasiswa semester keenam Program Studi Manajemen di STIE Mahardhika Surabaya turut berpartisipasi dalam penelitian ini. Enam mahasiswa dua laki-laki dan empat perempuan ikut serta dalam penelitian ini. Pemilihan sampel dilakukan dengan metode purposive sampling, di mana para peserta harus bersedia ikut serta dalam penelitian, terdaftar dalam program pembelajaran fleksibel, serta merupakan mahasiswa semester keenam yang aktif.</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Wawancara mendalam, pengamatan, dan dokumentasi digunakan untuk mengumpulkan data. Tujuan dari wawancara semi-terstruktur yang berlangsung selama 30 hingga 45 menit ini adalah untuk menggali lebih dalam pengalaman para siswa dalam mempertahankan semangat belajar. Dokumentasi berfungsi sebagai data pendukung bagi penelitian ini, sedangkan pengamatan dilakukan untuk mengevaluasi prestasi akademik para siswa selama pembelajaran fleksibel.</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Tergantung pada kondisi para narasumber penelitian, wawancara dilakukan baik secara tatap muka maupun daring. Untuk menjaga fleksibilitas dalam prosedur wawancara sekaligus tetap sesuai dengan topik penelitian, peneliti menggunakan panduan wawancara semi-terstruktur. Untuk mendokumentasikan ekspresi wajah, reaksi emosional, dan kondisi psikologis para narasumber saat mereka menceritakan pengalaman akademis mereka, peneliti juga membuat catatan lapangan selama wawancara berlangsung.</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Dalam pendekatan fenomenologi, peneliti berupaya memahami pengalaman informan secara mendalam tanpa memberikan penilaian subjektif terhadap pengalaman tersebut. Oleh karena itu, peneliti melakukan proses refleksi dan interpretasi data secara berulang agar makna pengalaman mahasiswa dapat dipahami secara lebih komprehensif.</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Analisis data menggunakan model Miles, Huberman, dan Saldaña yang meliputi reduksi data, penyajian data, dan penarikan kesimpulan (Miles et al., 2020). Keabsahan data dilakukan melalui triangulasi sumber dan triangulasi teknik agar data penelitian memiliki tingkat kredibilitas yang lebih kuat.</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r>
    </w:p>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b/>
          <w:bCs/>
        </w:rPr>
        <w:t xml:space="preserve">Hasil dan Pembahasan </w:t>
      </w:r>
    </w:p>
    <w:p>
      <w:pPr>
        <w:ind w:left="284"/>
        <w:spacing w:line="276" w:lineRule="auto"/>
        <w:jc w:val="both"/>
        <w:rPr>
          <w:rFonts w:ascii="Times New Roman" w:hAnsi="Times New Roman" w:eastAsia="Times New Roman" w:cs="Times New Roman"/>
          <w:color w:val="c9211e"/>
        </w:rPr>
      </w:pPr>
      <w:r>
        <w:rPr>
          <w:rFonts w:ascii="Times New Roman" w:hAnsi="Times New Roman" w:eastAsia="Times New Roman" w:cs="Times New Roman"/>
          <w:b/>
          <w:bCs/>
        </w:rPr>
        <w:t>Makna Energi Akademik bagi Mahasiswa</w:t>
      </w:r>
      <w:r>
        <w:rPr>
          <w:rFonts w:ascii="Times New Roman" w:hAnsi="Times New Roman" w:eastAsia="Times New Roman" w:cs="Times New Roman"/>
          <w:color w:val="c9211e"/>
        </w:rPr>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Hasil penelitian menunjukkan bahwa mahasiswa memaknai energi akademik sebagai kemampuan mempertahankan semangat belajar, fokus, motivasi, dan kestabilan mental selama menjalani aktivitas akademik. Energi akademik dianggap sangat memengaruhi produktivitas belajar mahasiswa, terutama ketika menghadapi tugas akademik yang cukup padat.</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Salah satu informan menjelaskan:</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“Kalau energi akademik lagi turun biasanya saya jadi males buka tugas dan susah fokus.” (Informan 2)</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Pernyataan tersebut menunjukkan bahwa energi akademik tidak hanya berkaitan dengan kondisi fisik, tetapi juga berkaitan dengan kesiapan mental mahasiswa dalam menjalani proses belajar. Temuan ini sejalan dengan penelitian Schaufeli (2021) yang menjelaskan bahwa keterlibatan akademik mahasiswa dipengaruhi oleh kondisi psikologis positif seperti motivasi, antusiasme, dan semangat belajar.</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Temuan penelitian juga menunjukkan bahwa mahasiswa memandang energi akademik sebagai sesuatu yang dapat berubah tergantung kondisi emosional, tekanan tugas, dan lingkungan belajar. Kondisi tersebut memperlihatkan bahwa energi akademik mahasiswa dipengaruhi tidak hanya oleh tuntutan akademik, tetapi juga oleh kondisi psikologis dan sosial mahasiswa dalam kehidupan sehari-hari.</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r>
    </w:p>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b/>
          <w:bCs/>
        </w:rPr>
        <w:t>Tantangan Mahasiswa pada Pembelajaran Fleksibel</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Hasil wawancara menunjukkan bahwa tantangan terbesar yang dirasakan mahasiswa selama pembelajaran fleksibel adalah distraksi digital akibat penggunaan media sosial selama proses pembelajaran.</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Salah satu informan menyampaikan:</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“Kadang niat awal buka laptop buat tugas, tapi malah buka media sosial dulu sampai lupa waktu.” (Informan 4)</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Temuan tersebut menunjukkan bahwa fleksibilitas pembelajaran tidak selalu memberikan kenyamanan belajar, tetapi juga meningkatkan potensi distraksi digital ketika mahasiswa belum memiliki kemampuan pengelolaan diri yang baik. Kondisi ini sejalan dengan penelitian Timario dan Lomibao (2023) yang menjelaskan bahwa pembelajaran fleksibel memberikan kebebasan belajar, namun juga memunculkan tantangan berupa penurunan fokus akademik akibat penggunaan teknologi digital secara berlebihan.</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Selain distraksi digital, mahasiswa juga mengalami academic burnout akibat tuntutan akademik yang terus meningkat. Mahasiswa merasa sistem pembelajaran fleksibel membuat batas antara waktu belajar dan waktu pribadi menjadi semakin tidak jelas.</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Temuan penelitian menunjukkan bahwa mahasiswa tidak hanya mengalami tekanan akademik, tetapi juga mengalami tekanan sosial akibat tuntutan untuk tetap terlihat produktif di lingkungan perkuliahan. Mahasiswa sering membandingkan pencapaian akademiknya dengan mahasiswa lain melalui media sosial maupun lingkungan pertemanan. Kondisi tersebut secara tidak langsung meningkatkan tekanan mental dan rasa cemas terhadap kemampuan diri sendiri.</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Fenomena tersebut menunjukkan bahwa pembelajaran fleksibel tidak hanya memengaruhi pola belajar mahasiswa, tetapi juga memengaruhi kondisi psikologis dan sosial mahasiswa dalam kehidupan sehari-hari. Mahasiswa menjadi lebih rentan mengalami overthinking, kecemasan akademik, dan kelelahan emosional akibat tingginya ekspektasi terhadap diri sendiri.</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Salah satu informan mengatakan:</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“Karena tugasnya banyak dan semuanya online, kadang rasanya capek sendiri. Istirahat pun masih kepikiran tugas.” (Informan 1)</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Kondisi tersebut menunjukkan bahwa pembelajaran fleksibel dapat memunculkan tekanan psikologis baru bagi mahasiswa. Kebebasan belajar yang tidak diimbangi dengan kemampuan self-management yang baik justru dapat meningkatkan kelelahan mental dan menurunkan keterlibatan akademik mahasiswa.</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Mahasiswa semester 6 juga menghadapi tekanan tambahan berupa tugas penelitian, kegiatan magang, organisasi, dan persiapan memasuki dunia kerja. Kompleksitas tanggung jawab tersebut membuat mahasiswa lebih rentan mengalami kelelahan emosional dibandingkan mahasiswa pada semester sebelumnya.</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r>
    </w:p>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b/>
          <w:bCs/>
        </w:rPr>
        <w:t>Pengalaman Emosional Mahasiswa dalam Menjaga Energi Akademik</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Selain menghadapi tekanan akademik, mahasiswa juga mengalami dinamika emosional selama menjalani pembelajaran fleksibel. Beberapa mahasiswa mengaku sering merasa jenuh, overthinking terhadap tugas, dan mengalami tekanan mental ketika harus menjalani banyak aktivitas dalam waktu yang bersamaan.</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Salah satu informan menyampaikan:</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“Kadang capeknya bukan fisik, tapi pikiran. Karena tugas terus jalan, belum magang juga, jadi sering overthinking sendiri.” (Informan 3)</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Pernyataan tersebut memperlihatkan bahwa tekanan akademik mahasiswa pada pembelajaran fleksibel tidak hanya bersifat akademis, tetapi juga memengaruhi kondisi emosional mahasiswa. Kondisi tersebut memperlihatkan bahwa mahasiswa membutuhkan kemampuan pengelolaan emosi dan dukungan sosial agar mampu mempertahankan energi akademik secara stabil.</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Temuan penelitian ini memperkuat penelitian Tersta et al. (2023) yang menjelaskan bahwa pembelajaran digital dapat meningkatkan tekanan psikologis mahasiswa akibat tingginya tuntutan akademik dan minimnya interaksi sosial secara langsung.</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Hasil penelitian juga menunjukkan bahwa mahasiswa sering mengalami penurunan energi akademik ketika terlalu lama menjalani aktivitas pembelajaran secara mandiri tanpa interaksi sosial yang cukup. Beberapa mahasiswa mengaku merasa jenuh karena aktivitas akademik yang monoton dan berlangsung secara berulang melalui media digital. Kondisi tersebut membuat mahasiswa merasa kurang memiliki suasana belajar yang mendukung seperti pada pembelajaran tatap muka.</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Salah satu informan menyampaikan:</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“Kalau terlalu lama belajar sendiri kadang jadi cepat bosan dan nggak ada semangat.” (Informan 1)</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Pernyataan tersebut menunjukkan bahwa interaksi sosial masih menjadi kebutuhan penting dalam proses belajar mahasiswa. Meskipun pembelajaran fleksibel memberikan kebebasan dalam belajar, mahasiswa tetap membutuhkan lingkungan sosial yang mampu mendukung motivasi dan semangat akademiknya. Temuan ini memperlihatkan bahwa proses pembelajaran tidak hanya berkaitan dengan transfer materi akademik, tetapi juga berkaitan dengan hubungan sosial dan emosional mahasiswa selama menjalani pendidikan.</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Selain itu, hasil penelitian juga menunjukkan bahwa mahasiswa memiliki cara yang berbeda-beda dalam memulihkan energi akademiknya. Sebagian mahasiswa memilih beristirahat dan menjauh sementara dari aktivitas akademik ketika merasa lelah, sedangkan sebagian lainnya memilih mencari dukungan sosial dari teman sebaya agar tetap termotivasi. Kondisi tersebut menunjukkan bahwa pengelolaan energi akademik bersifat subjektif dan dipengaruhi oleh pengalaman serta kondisi psikologis masing-masing mahasiswa.</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Temuan penelitian ini menunjukkan bahwa kemampuan mahasiswa dalam menjaga energi akademik tidak terbentuk secara instan, tetapi melalui proses adaptasi terhadap tekanan akademik dan perubahan sistem pembelajaran. Oleh karena itu, mahasiswa memerlukan kemampuan adaptasi yang baik agar mampu bertahan dalam sistem pembelajaran fleksibel yang menuntut kemandirian belajar lebih tinggi dibandingkan sistem pembelajaran konvensional.</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r>
    </w:p>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b/>
          <w:bCs/>
        </w:rPr>
        <w:t>Strategi Mahasiswa dalam Mengelola Energi Akademik</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Berdasarkan hasil penelitian, mahasiswa memiliki berbagai strategi dalam mempertahankan energi akademik selama menjalani pembelajaran fleksibel. Strategi yang paling sering dilakukan adalah manajemen waktu dengan membuat jadwal belajar dan menentukan prioritas tugas.</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Salah satu informan menjelaskan:</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“Saya biasanya bikin to do list harian biar tugas nggak numpuk dan kepala nggak terlalu penuh.” (Informan 5)</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Strategi tersebut menunjukkan bahwa kemampuan manajemen diri menjadi faktor penting dalam menjaga energi akademik mahasiswa. Pengelolaan diri yang baik dapat membantu mahasiswa meningkatkan kedisiplinan, mengurangi tekanan akademik, dan menjaga konsistensi dalam menjalankan aktivitas belajar secara mandiri (Kusumaningtyas et al., 2022). Mahasiswa yang mampu mengatur waktu belajar secara terstruktur cenderung lebih mampu menjaga fokus dan mengurangi tekanan akademik.</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Selain manajemen waktu, mahasiswa juga melakukan self-reward sebagai bentuk menjaga kesehatan mental. Beberapa mahasiswa memilih beristirahat, mendengarkan musik, menonton film, atau melakukan aktivitas hiburan setelah menyelesaikan tugas akademik.</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Mahasiswa juga menciptakan lingkungan belajar yang nyaman agar lebih fokus ketika belajar. Dukungan sosial dari teman sebaya menjadi faktor penting dalam membantu mahasiswa mempertahankan motivasi akademik.</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Salah satu informan menyampaikan:</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“Kalau belajar bareng teman biasanya lebih semangat daripada belajar sendiri.” (Informan 6)</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Temuan tersebut menunjukkan bahwa interaksi sosial tetap menjadi kebutuhan penting bagi mahasiswa meskipun pembelajaran dilakukan secara fleksibel. Dukungan sosial membantu mahasiswa mengurangi tekanan emosional dan meningkatkan motivasi belajar selama menjalani aktivitas akademik.</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Secara keseluruhan, hasil penelitian menunjukkan bahwa fleksibilitas dalam pembelajaran tidak selalu dimaknai sebagai bentuk kemudahan belajar oleh mahasiswa. Bagi sebagian mahasiswa, sistem pembelajaran fleksibel justru menciptakan tekanan baru karena mahasiswa dituntut mampu mengatur seluruh proses belajarnya secara mandiri. Kondisi tersebut memperlihatkan bahwa keberhasilan pembelajaran fleksibel sangat dipengaruhi oleh kemampuan self-management dan kesiapan mental mahasiswa.</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Hasil penelitian ini juga menunjukkan bahwa kesejahteraan akademik berkaitan erat dengan kemampuan mahasiswa dalam belajar, serta kemampuan mereka untuk mengendalikan emosi, menghadapi tuntutan sosial, dan menjaga kesehatan mental mereka. Oleh karena itu, untuk memastikan bahwa proses pembelajaran dapat berlangsung secara lebih sehat dan berkelanjutan, lembaga pendidikan tinggi harus memperhatikan kesejahteraan psikologis mahasiswa selain efektivitas metode pembelajaran yang diterapkan.</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r>
    </w:p>
    <w:p>
      <w:pPr>
        <w:ind w:left="284"/>
        <w:spacing w:line="276" w:lineRule="auto"/>
        <w:jc w:val="center"/>
        <w:rPr>
          <w:rFonts w:ascii="Times New Roman" w:hAnsi="Times New Roman" w:eastAsia="Times New Roman" w:cs="Times New Roman"/>
        </w:rPr>
      </w:pPr>
      <w:r>
        <w:rPr>
          <w:rFonts w:ascii="Times New Roman" w:hAnsi="Times New Roman" w:eastAsia="Times New Roman" w:cs="Times New Roman"/>
          <w:b/>
          <w:bCs/>
        </w:rPr>
        <w:t>Tabel 1. Tema Fenomenologis Strategi Mahasiswa Dalam Mengelola Energi Akadmik</w:t>
      </w:r>
      <w:r>
        <w:rPr>
          <w:rFonts w:ascii="Times New Roman" w:hAnsi="Times New Roman" w:eastAsia="Times New Roman" w:cs="Times New Roman"/>
        </w:rPr>
      </w:r>
    </w:p>
    <w:p>
      <w:pPr>
        <w:ind w:left="284"/>
        <w:spacing w:line="276" w:lineRule="auto"/>
        <w:jc w:val="center"/>
        <w:rPr>
          <w:rFonts w:ascii="Times New Roman" w:hAnsi="Times New Roman" w:eastAsia="Times New Roman" w:cs="Times New Roman"/>
          <w:color w:val="c9211e"/>
        </w:rPr>
      </w:pPr>
      <w:r>
        <w:rPr>
          <w:rFonts w:ascii="Times New Roman" w:hAnsi="Times New Roman" w:eastAsia="Times New Roman" w:cs="Times New Roman"/>
          <w:color w:val="c9211e"/>
        </w:rPr>
      </w:r>
    </w:p>
    <w:tbl>
      <w:tblPr>
        <w:tblStyle w:val="TableNormal"/>
        <w:name w:val="Table2"/>
        <w:tabOrder w:val="0"/>
        <w:jc w:val="center"/>
        <w:tblInd w:w="0" w:type="dxa"/>
        <w:tblW w:w="8789" w:type="dxa"/>
        <w:pPr>
          <w:spacing/>
          <w:jc w:val="center"/>
        </w:pPr>
        <w:tblLook w:val="0400" w:firstRow="0" w:lastRow="0" w:firstColumn="0" w:lastColumn="0" w:noHBand="0" w:noVBand="1"/>
      </w:tblPr>
      <w:tblGrid>
        <w:gridCol w:w="2835"/>
        <w:gridCol w:w="2410"/>
        <w:gridCol w:w="3544"/>
      </w:tblGrid>
      <w:tr>
        <w:trPr>
          <w:tblHeader w:val="0"/>
          <w:cantSplit w:val="0"/>
          <w:trHeight w:val="0" w:hRule="auto"/>
        </w:trPr>
        <w:tc>
          <w:tcPr>
            <w:tcW w:w="2835" w:type="dxa"/>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85731694" protected="0"/>
          </w:tcPr>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b/>
                <w:bCs/>
              </w:rPr>
              <w:t>Tema Utama</w:t>
            </w:r>
          </w:p>
        </w:tc>
        <w:tc>
          <w:tcPr>
            <w:tcW w:w="2410" w:type="dxa"/>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85731694" protected="0"/>
          </w:tcPr>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b/>
                <w:bCs/>
              </w:rPr>
              <w:t>Subtema</w:t>
            </w:r>
          </w:p>
        </w:tc>
        <w:tc>
          <w:tcPr>
            <w:tcW w:w="3544" w:type="dxa"/>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85731694" protected="0"/>
          </w:tcPr>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b/>
                <w:bCs/>
              </w:rPr>
              <w:t>Pernyataan Informan</w:t>
            </w:r>
          </w:p>
        </w:tc>
      </w:tr>
      <w:tr>
        <w:trPr>
          <w:tblHeader w:val="0"/>
          <w:cantSplit w:val="0"/>
          <w:trHeight w:val="0" w:hRule="auto"/>
        </w:trPr>
        <w:tc>
          <w:tcPr>
            <w:tcW w:w="2835" w:type="dxa"/>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85731694" protected="0"/>
          </w:tcPr>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rPr>
              <w:t>Energi Akademik</w:t>
            </w:r>
            <w:r>
              <w:rPr>
                <w:rFonts w:ascii="Times New Roman" w:hAnsi="Times New Roman" w:eastAsia="Times New Roman" w:cs="Times New Roman"/>
                <w:b/>
                <w:bCs/>
              </w:rPr>
            </w:r>
          </w:p>
        </w:tc>
        <w:tc>
          <w:tcPr>
            <w:tcW w:w="2410" w:type="dxa"/>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85731694" protected="0"/>
          </w:tcPr>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rPr>
              <w:t>Motivasi belajar</w:t>
            </w:r>
            <w:r>
              <w:rPr>
                <w:rFonts w:ascii="Times New Roman" w:hAnsi="Times New Roman" w:eastAsia="Times New Roman" w:cs="Times New Roman"/>
                <w:b/>
                <w:bCs/>
              </w:rPr>
            </w:r>
          </w:p>
        </w:tc>
        <w:tc>
          <w:tcPr>
            <w:tcW w:w="3544" w:type="dxa"/>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85731694" protected="0"/>
          </w:tcPr>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rPr>
              <w:t>“Kalau semangat turun biasanya jadi males buka tugas.”</w:t>
            </w:r>
            <w:r>
              <w:rPr>
                <w:rFonts w:ascii="Times New Roman" w:hAnsi="Times New Roman" w:eastAsia="Times New Roman" w:cs="Times New Roman"/>
                <w:b/>
                <w:bCs/>
              </w:rPr>
            </w:r>
          </w:p>
        </w:tc>
      </w:tr>
      <w:tr>
        <w:trPr>
          <w:tblHeader w:val="0"/>
          <w:cantSplit w:val="0"/>
          <w:trHeight w:val="0" w:hRule="auto"/>
        </w:trPr>
        <w:tc>
          <w:tcPr>
            <w:tcW w:w="2835" w:type="dxa"/>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85731694" protected="0"/>
          </w:tcPr>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rPr>
              <w:t>Tantangan Pembelajaran Fleksibel</w:t>
            </w:r>
            <w:r>
              <w:rPr>
                <w:rFonts w:ascii="Times New Roman" w:hAnsi="Times New Roman" w:eastAsia="Times New Roman" w:cs="Times New Roman"/>
                <w:b/>
                <w:bCs/>
              </w:rPr>
            </w:r>
          </w:p>
        </w:tc>
        <w:tc>
          <w:tcPr>
            <w:tcW w:w="2410" w:type="dxa"/>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85731694" protected="0"/>
          </w:tcPr>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rPr>
              <w:t>Distraksi digital</w:t>
            </w:r>
            <w:r>
              <w:rPr>
                <w:rFonts w:ascii="Times New Roman" w:hAnsi="Times New Roman" w:eastAsia="Times New Roman" w:cs="Times New Roman"/>
                <w:b/>
                <w:bCs/>
              </w:rPr>
            </w:r>
          </w:p>
        </w:tc>
        <w:tc>
          <w:tcPr>
            <w:tcW w:w="3544" w:type="dxa"/>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85731694" protected="0"/>
          </w:tcPr>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rPr>
              <w:t>“Awalnya buka laptop buat tugas, tapi malah buka media sosial.”</w:t>
            </w:r>
            <w:r>
              <w:rPr>
                <w:rFonts w:ascii="Times New Roman" w:hAnsi="Times New Roman" w:eastAsia="Times New Roman" w:cs="Times New Roman"/>
                <w:b/>
                <w:bCs/>
              </w:rPr>
            </w:r>
          </w:p>
        </w:tc>
      </w:tr>
      <w:tr>
        <w:trPr>
          <w:tblHeader w:val="0"/>
          <w:cantSplit w:val="0"/>
          <w:trHeight w:val="0" w:hRule="auto"/>
        </w:trPr>
        <w:tc>
          <w:tcPr>
            <w:tcW w:w="2835" w:type="dxa"/>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85731694" protected="0"/>
          </w:tcPr>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rPr>
              <w:t>Academic Burnout</w:t>
            </w:r>
            <w:r>
              <w:rPr>
                <w:rFonts w:ascii="Times New Roman" w:hAnsi="Times New Roman" w:eastAsia="Times New Roman" w:cs="Times New Roman"/>
                <w:b/>
                <w:bCs/>
              </w:rPr>
            </w:r>
          </w:p>
        </w:tc>
        <w:tc>
          <w:tcPr>
            <w:tcW w:w="2410" w:type="dxa"/>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85731694" protected="0"/>
          </w:tcPr>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rPr>
              <w:t>Kelelahan mental</w:t>
            </w:r>
            <w:r>
              <w:rPr>
                <w:rFonts w:ascii="Times New Roman" w:hAnsi="Times New Roman" w:eastAsia="Times New Roman" w:cs="Times New Roman"/>
                <w:b/>
                <w:bCs/>
              </w:rPr>
            </w:r>
          </w:p>
        </w:tc>
        <w:tc>
          <w:tcPr>
            <w:tcW w:w="3544" w:type="dxa"/>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85731694" protected="0"/>
          </w:tcPr>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rPr>
              <w:t>“Capeknya lebih ke pikiran karena tugas terus.”</w:t>
            </w:r>
            <w:r>
              <w:rPr>
                <w:rFonts w:ascii="Times New Roman" w:hAnsi="Times New Roman" w:eastAsia="Times New Roman" w:cs="Times New Roman"/>
                <w:b/>
                <w:bCs/>
              </w:rPr>
            </w:r>
          </w:p>
        </w:tc>
      </w:tr>
      <w:tr>
        <w:trPr>
          <w:tblHeader w:val="0"/>
          <w:cantSplit w:val="0"/>
          <w:trHeight w:val="0" w:hRule="auto"/>
        </w:trPr>
        <w:tc>
          <w:tcPr>
            <w:tcW w:w="2835" w:type="dxa"/>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85731694" protected="0"/>
          </w:tcPr>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rPr>
              <w:t>Manajemen Diri</w:t>
            </w:r>
            <w:r>
              <w:rPr>
                <w:rFonts w:ascii="Times New Roman" w:hAnsi="Times New Roman" w:eastAsia="Times New Roman" w:cs="Times New Roman"/>
                <w:b/>
                <w:bCs/>
              </w:rPr>
            </w:r>
          </w:p>
        </w:tc>
        <w:tc>
          <w:tcPr>
            <w:tcW w:w="2410" w:type="dxa"/>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85731694" protected="0"/>
          </w:tcPr>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rPr>
              <w:t>Pengaturan waktu</w:t>
            </w:r>
            <w:r>
              <w:rPr>
                <w:rFonts w:ascii="Times New Roman" w:hAnsi="Times New Roman" w:eastAsia="Times New Roman" w:cs="Times New Roman"/>
                <w:b/>
                <w:bCs/>
              </w:rPr>
            </w:r>
          </w:p>
        </w:tc>
        <w:tc>
          <w:tcPr>
            <w:tcW w:w="3544" w:type="dxa"/>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85731694" protected="0"/>
          </w:tcPr>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rPr>
              <w:t>“Saya bikin jadwal biar tugas nggak numpuk.”</w:t>
            </w:r>
            <w:r>
              <w:rPr>
                <w:rFonts w:ascii="Times New Roman" w:hAnsi="Times New Roman" w:eastAsia="Times New Roman" w:cs="Times New Roman"/>
                <w:b/>
                <w:bCs/>
              </w:rPr>
            </w:r>
          </w:p>
        </w:tc>
      </w:tr>
      <w:tr>
        <w:trPr>
          <w:tblHeader w:val="0"/>
          <w:cantSplit w:val="0"/>
          <w:trHeight w:val="0" w:hRule="auto"/>
        </w:trPr>
        <w:tc>
          <w:tcPr>
            <w:tcW w:w="2835" w:type="dxa"/>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85731694" protected="0"/>
          </w:tcPr>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rPr>
              <w:t>Self-Reward</w:t>
            </w:r>
            <w:r>
              <w:rPr>
                <w:rFonts w:ascii="Times New Roman" w:hAnsi="Times New Roman" w:eastAsia="Times New Roman" w:cs="Times New Roman"/>
                <w:b/>
                <w:bCs/>
              </w:rPr>
            </w:r>
          </w:p>
        </w:tc>
        <w:tc>
          <w:tcPr>
            <w:tcW w:w="2410" w:type="dxa"/>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85731694" protected="0"/>
          </w:tcPr>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rPr>
              <w:t>Menjaga kesehatan mental</w:t>
            </w:r>
            <w:r>
              <w:rPr>
                <w:rFonts w:ascii="Times New Roman" w:hAnsi="Times New Roman" w:eastAsia="Times New Roman" w:cs="Times New Roman"/>
                <w:b/>
                <w:bCs/>
              </w:rPr>
            </w:r>
          </w:p>
        </w:tc>
        <w:tc>
          <w:tcPr>
            <w:tcW w:w="3544" w:type="dxa"/>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85731694" protected="0"/>
          </w:tcPr>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rPr>
              <w:t>“Kalau penat biasanya saya nonton film atau istirahat.”</w:t>
            </w:r>
            <w:r>
              <w:rPr>
                <w:rFonts w:ascii="Times New Roman" w:hAnsi="Times New Roman" w:eastAsia="Times New Roman" w:cs="Times New Roman"/>
                <w:b/>
                <w:bCs/>
              </w:rPr>
            </w:r>
          </w:p>
        </w:tc>
      </w:tr>
      <w:tr>
        <w:trPr>
          <w:tblHeader w:val="0"/>
          <w:cantSplit w:val="0"/>
          <w:trHeight w:val="0" w:hRule="auto"/>
        </w:trPr>
        <w:tc>
          <w:tcPr>
            <w:tcW w:w="2835" w:type="dxa"/>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85731694" protected="0"/>
          </w:tcPr>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rPr>
              <w:t>Dukungan Sosial</w:t>
            </w:r>
            <w:r>
              <w:rPr>
                <w:rFonts w:ascii="Times New Roman" w:hAnsi="Times New Roman" w:eastAsia="Times New Roman" w:cs="Times New Roman"/>
                <w:b/>
                <w:bCs/>
              </w:rPr>
            </w:r>
          </w:p>
        </w:tc>
        <w:tc>
          <w:tcPr>
            <w:tcW w:w="2410" w:type="dxa"/>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85731694" protected="0"/>
          </w:tcPr>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rPr>
              <w:t>Motivasi dari teman</w:t>
            </w:r>
            <w:r>
              <w:rPr>
                <w:rFonts w:ascii="Times New Roman" w:hAnsi="Times New Roman" w:eastAsia="Times New Roman" w:cs="Times New Roman"/>
                <w:b/>
                <w:bCs/>
              </w:rPr>
            </w:r>
          </w:p>
        </w:tc>
        <w:tc>
          <w:tcPr>
            <w:tcW w:w="3544" w:type="dxa"/>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85731694" protected="0"/>
          </w:tcPr>
          <w:p>
            <w:pPr>
              <w:ind w:left="284"/>
              <w:spacing w:line="276" w:lineRule="auto"/>
              <w:jc w:val="both"/>
              <w:rPr>
                <w:rFonts w:ascii="Times New Roman" w:hAnsi="Times New Roman" w:eastAsia="Times New Roman" w:cs="Times New Roman"/>
                <w:b/>
                <w:bCs/>
              </w:rPr>
            </w:pPr>
            <w:r>
              <w:rPr>
                <w:rFonts w:ascii="Times New Roman" w:hAnsi="Times New Roman" w:eastAsia="Times New Roman" w:cs="Times New Roman"/>
              </w:rPr>
              <w:t>“Belajar sama teman bikin lebih semangat.”</w:t>
            </w:r>
            <w:r>
              <w:rPr>
                <w:rFonts w:ascii="Times New Roman" w:hAnsi="Times New Roman" w:eastAsia="Times New Roman" w:cs="Times New Roman"/>
                <w:b/>
                <w:bCs/>
              </w:rPr>
            </w:r>
          </w:p>
        </w:tc>
      </w:tr>
    </w:tbl>
    <w:p>
      <w:pPr>
        <w:ind w:left="284"/>
        <w:spacing w:line="276" w:lineRule="auto"/>
        <w:jc w:val="center"/>
        <w:rPr>
          <w:rFonts w:ascii="Times New Roman" w:hAnsi="Times New Roman" w:eastAsia="Times New Roman" w:cs="Times New Roman"/>
          <w:b/>
          <w:bCs/>
        </w:rPr>
      </w:pPr>
      <w:r>
        <w:rPr>
          <w:rFonts w:ascii="Times New Roman" w:hAnsi="Times New Roman" w:eastAsia="Times New Roman" w:cs="Times New Roman"/>
          <w:i/>
          <w:iCs/>
        </w:rPr>
        <w:t>Sumber: Diperoleh dari data primer (hasil wawancara)</w:t>
      </w:r>
      <w:r>
        <w:rPr>
          <w:rFonts w:ascii="Times New Roman" w:hAnsi="Times New Roman" w:eastAsia="Times New Roman" w:cs="Times New Roman"/>
          <w:b/>
          <w:bCs/>
        </w:rPr>
        <w:t xml:space="preserve"> </w:t>
      </w:r>
      <w:r>
        <w:rPr>
          <w:rFonts w:ascii="Times New Roman" w:hAnsi="Times New Roman" w:eastAsia="Times New Roman" w:cs="Times New Roman"/>
          <w:b/>
          <w:bCs/>
        </w:rPr>
      </w:r>
    </w:p>
    <w:p>
      <w:pPr>
        <w:ind w:left="284"/>
        <w:spacing w:line="276" w:lineRule="auto"/>
        <w:jc w:val="center"/>
        <w:rPr>
          <w:rFonts w:ascii="Times New Roman" w:hAnsi="Times New Roman" w:eastAsia="Times New Roman" w:cs="Times New Roman"/>
          <w:b/>
          <w:bCs/>
        </w:rPr>
      </w:pPr>
      <w:r>
        <w:rPr>
          <w:rFonts w:ascii="Times New Roman" w:hAnsi="Times New Roman" w:eastAsia="Times New Roman" w:cs="Times New Roman"/>
          <w:b/>
          <w:bCs/>
        </w:rPr>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Berdasarkan hasil penelitian, dapat dipahami bahwa pembelajaran fleksibel membawa dua sisi yang berbeda bagi mahasiswa. Di satu sisi, sistem ini memberikan kebebasan dan kemudahan akses belajar. Namun, di sisi lain pembelajaran fleksibel juga dapat memunculkan tekanan psikologis baru akibat meningkatnya tuntutan kemandirian belajar dan penggunaan teknologi digital secara terus-menerus. Kondisi tersebut memperlihatkan bahwa fleksibilitas pembelajaran tidak selalu identik dengan kenyamanan belajar bagi seluruh mahasiswa.</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Mahasiswa yang belum memiliki kemampuan pengelolaan diri yang baik cenderung lebih mudah mengalami distraksi digital, penurunan motivasi belajar, serta academic burnout. Sebaliknya, mahasiswa yang mampu mengelola waktu, emosi, dan lingkungan belajarnya secara baik cenderung lebih mampu mempertahankan energi akademik secara stabil. Oleh karena itu, kemampuan self-management menjadi salah satu faktor penting dalam keberhasilan mahasiswa menjalani pembelajaran fleksibel pada era digital saat ini.</w:t>
      </w:r>
    </w:p>
    <w:p>
      <w:pPr>
        <w:ind w:left="284"/>
        <w:spacing w:line="276" w:lineRule="auto"/>
        <w:rPr>
          <w:rFonts w:ascii="Times New Roman" w:hAnsi="Times New Roman" w:eastAsia="Times New Roman" w:cs="Times New Roman"/>
        </w:rPr>
      </w:pPr>
      <w:r>
        <w:rPr>
          <w:rFonts w:ascii="Times New Roman" w:hAnsi="Times New Roman" w:eastAsia="Times New Roman" w:cs="Times New Roman"/>
        </w:rPr>
      </w:r>
    </w:p>
    <w:p>
      <w:pPr>
        <w:ind w:left="284"/>
        <w:spacing w:line="276" w:lineRule="auto"/>
        <w:jc w:val="both"/>
        <w:rPr>
          <w:rFonts w:ascii="Times New Roman" w:hAnsi="Times New Roman" w:eastAsia="Times New Roman" w:cs="Times New Roman"/>
        </w:rPr>
      </w:pPr>
      <w:r>
        <w:rPr>
          <w:rFonts w:ascii="Times New Roman" w:hAnsi="Times New Roman" w:eastAsia="Times New Roman" w:cs="Times New Roman"/>
          <w:b/>
          <w:bCs/>
        </w:rPr>
        <w:t xml:space="preserve">Penutup </w:t>
      </w:r>
      <w:r>
        <w:rPr>
          <w:rFonts w:ascii="Times New Roman" w:hAnsi="Times New Roman" w:eastAsia="Times New Roman" w:cs="Times New Roman"/>
        </w:rPr>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Penelitian ini menunjukkan bahwa mahasiswa Program Studi Manajemen semester 6 STIE Mahardhika memaknai energi akademik sebagai kemampuan menjaga semangat, fokus, motivasi, dan kestabilan mental selama menjalani aktivitas akademik. Pembelajaran fleksibel memberikan kemudahan dalam proses belajar, namun di sisi lain juga memunculkan tantangan berupa distraksi digital, academic burnout, penurunan motivasi belajar, dan tekanan emosional akibat meningkatnya tuntutan akademik.</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Mahasiswa memiliki berbagai strategi dalam mengelola energi akademik, seperti manajemen waktu, self-reward, menjaga kesehatan mental, menciptakan lingkungan belajar yang nyaman, serta membangun dukungan sosial dengan teman sebaya. Penelitian ini menunjukkan bahwa kemampuan manajemen diri menjadi faktor penting dalam mempertahankan keterlibatan akademik mahasiswa pada sistem pembelajaran fleksibel.</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Penelitian ini juga memperlihatkan bahwa fleksibilitas pembelajaran tidak selalu dimaknai sebagai kenyamanan belajar, tetapi juga dapat memunculkan tekanan psikologis baru apabila mahasiswa belum memiliki kemampuan pengelolaan diri yang baik.</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Penelitian selanjutnya diharapkan dapat mengembangkan kajian mengenai energi akademik mahasiswa dengan melibatkan lebih banyak informan dan program studi yang berbeda agar memperoleh gambaran fenomena yang lebih luas. Selain itu, penelitian berikutnya dapat menggunakan pendekatan mixed method untuk melihat hubungan antara energi akademik, motivasi belajar, dan kesehatan mental mahasiswa secara lebih mendalam.</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Perguruan tinggi diharapkan mampu menciptakan sistem pembelajaran fleksibel yang tidak hanya berfokus pada aspek akademik, tetapi juga memperhatikan kondisi psikologis mahasiswa. Dosen juga diharapkan mampu membangun komunikasi pembelajaran yang lebih interaktif dan suportif agar mahasiswa tetap memiliki motivasi belajar yang baik selama menjalani pembelajaran fleksibel. Oleh karena itu, kemampuan adaptasi dan pengelolaan diri menjadi aspek penting yang perlu dikembangkan mahasiswa agar mampu menghadapi perubahan sistem pembelajaran pada era digital secara lebih sehat dan produktif (Kusumaningtyas et al., 2022).</w:t>
      </w:r>
    </w:p>
    <w:p>
      <w:pPr>
        <w:ind w:left="284" w:firstLine="567"/>
        <w:spacing w:line="276" w:lineRule="auto"/>
        <w:jc w:val="both"/>
        <w:rPr>
          <w:rFonts w:ascii="Times New Roman" w:hAnsi="Times New Roman" w:eastAsia="Times New Roman" w:cs="Times New Roman"/>
        </w:rPr>
      </w:pPr>
      <w:r>
        <w:rPr>
          <w:rFonts w:ascii="Times New Roman" w:hAnsi="Times New Roman" w:eastAsia="Times New Roman" w:cs="Times New Roman"/>
        </w:rPr>
        <w:t>Secara umum, pembelajaran fleksibel menuntut mahasiswa tidak hanya memiliki kemampuan akademik, tetapi juga kemampuan adaptasi, pengelolaan emosi, dan pengendalian diri. Oleh karena itu, energi akademik menjadi aspek penting yang perlu diperhatikan dalam sistem pembelajaran fleksibel di perguruan tinggi.</w:t>
      </w:r>
    </w:p>
    <w:p>
      <w:pPr>
        <w:ind w:left="284" w:firstLine="567"/>
        <w:spacing w:line="360" w:lineRule="auto"/>
        <w:jc w:val="both"/>
        <w:rPr>
          <w:rFonts w:ascii="Times New Roman" w:hAnsi="Times New Roman" w:eastAsia="Times New Roman" w:cs="Times New Roman"/>
        </w:rPr>
      </w:pPr>
      <w:r>
        <w:rPr>
          <w:rFonts w:ascii="Times New Roman" w:hAnsi="Times New Roman" w:eastAsia="Times New Roman" w:cs="Times New Roman"/>
        </w:rPr>
      </w:r>
    </w:p>
    <w:p>
      <w:pPr>
        <w:ind w:left="284"/>
        <w:spacing/>
        <w:jc w:val="both"/>
        <w:rPr>
          <w:rFonts w:ascii="Times New Roman" w:hAnsi="Times New Roman" w:eastAsia="Times New Roman" w:cs="Times New Roman"/>
        </w:rPr>
      </w:pPr>
      <w:r>
        <w:rPr>
          <w:rFonts w:ascii="Times New Roman" w:hAnsi="Times New Roman" w:eastAsia="Times New Roman" w:cs="Times New Roman"/>
          <w:b/>
          <w:bCs/>
        </w:rPr>
        <w:t>Daftar Pustaka</w:t>
      </w:r>
      <w:r>
        <w:rPr>
          <w:rFonts w:ascii="Times New Roman" w:hAnsi="Times New Roman" w:eastAsia="Times New Roman" w:cs="Times New Roman"/>
        </w:rPr>
      </w:r>
    </w:p>
    <w:p>
      <w:pPr>
        <w:ind w:left="720" w:hanging="436"/>
        <w:spacing/>
        <w:jc w:val="both"/>
        <w:rPr>
          <w:rFonts w:ascii="Times New Roman" w:hAnsi="Times New Roman" w:eastAsia="Times New Roman" w:cs="Times New Roman"/>
          <w:color w:val="000000"/>
        </w:rPr>
      </w:pPr>
      <w:r>
        <w:rPr>
          <w:rFonts w:ascii="Times New Roman" w:hAnsi="Times New Roman" w:eastAsia="Times New Roman" w:cs="Times New Roman"/>
          <w:color w:val="000000"/>
        </w:rPr>
        <w:t>Aristovnik, A., Keržič, D., Ravšelj, D., Tomaževič, N., &amp; Umek, L. (2021). Impacts of the COVID-19 pandemic on life of higher education students: A global perspective. Sustainability, 13(15), 8438.</w:t>
      </w:r>
    </w:p>
    <w:p>
      <w:pPr>
        <w:ind w:left="720" w:hanging="436"/>
        <w:spacing/>
        <w:jc w:val="both"/>
        <w:rPr>
          <w:rFonts w:ascii="Times New Roman" w:hAnsi="Times New Roman" w:eastAsia="Times New Roman" w:cs="Times New Roman"/>
          <w:color w:val="000000"/>
        </w:rPr>
      </w:pPr>
      <w:r>
        <w:rPr>
          <w:rFonts w:ascii="Times New Roman" w:hAnsi="Times New Roman" w:eastAsia="Times New Roman" w:cs="Times New Roman"/>
          <w:color w:val="000000"/>
        </w:rPr>
        <w:t>Collo, E. C. (2022). Discovering the lived experiences of graduate students in the virtual space: Reflections and lessons from a phenomenological inquiry. *Informasi*, 52(1), 45–58.</w:t>
      </w:r>
    </w:p>
    <w:p>
      <w:pPr>
        <w:ind w:left="720" w:hanging="436"/>
        <w:spacing/>
        <w:jc w:val="both"/>
        <w:rPr>
          <w:rFonts w:ascii="Times New Roman" w:hAnsi="Times New Roman" w:eastAsia="Times New Roman" w:cs="Times New Roman"/>
          <w:color w:val="000000"/>
        </w:rPr>
      </w:pPr>
      <w:r>
        <w:rPr>
          <w:rFonts w:ascii="Times New Roman" w:hAnsi="Times New Roman" w:eastAsia="Times New Roman" w:cs="Times New Roman"/>
          <w:color w:val="000000"/>
        </w:rPr>
        <w:t>Creswell, J. W., &amp; Poth, C. N. (2021). *Qualitative inquiry and research design: Choosing among five approaches* (5th ed.). Sage Publications.</w:t>
      </w:r>
    </w:p>
    <w:p>
      <w:pPr>
        <w:ind w:left="720" w:hanging="436"/>
        <w:spacing/>
        <w:jc w:val="both"/>
        <w:rPr>
          <w:rFonts w:ascii="Times New Roman" w:hAnsi="Times New Roman" w:eastAsia="Times New Roman" w:cs="Times New Roman"/>
          <w:color w:val="000000"/>
        </w:rPr>
      </w:pPr>
      <w:r>
        <w:rPr>
          <w:rFonts w:ascii="Times New Roman" w:hAnsi="Times New Roman" w:eastAsia="Times New Roman" w:cs="Times New Roman"/>
          <w:color w:val="000000"/>
        </w:rPr>
        <w:t>Dhawan, S. (2020). Online learning: A panacea in the time of COVID-19 crisis. Journal of Educational Technology Systems, 49(1), 5–22.</w:t>
      </w:r>
    </w:p>
    <w:p>
      <w:pPr>
        <w:ind w:left="720" w:hanging="436"/>
        <w:spacing/>
        <w:jc w:val="both"/>
        <w:rPr>
          <w:rFonts w:ascii="Times New Roman" w:hAnsi="Times New Roman" w:eastAsia="Times New Roman" w:cs="Times New Roman"/>
          <w:color w:val="000000"/>
        </w:rPr>
      </w:pPr>
      <w:r>
        <w:rPr>
          <w:rFonts w:ascii="Times New Roman" w:hAnsi="Times New Roman" w:eastAsia="Times New Roman" w:cs="Times New Roman"/>
          <w:color w:val="000000"/>
        </w:rPr>
        <w:t>Fadli, M. R. (2021). Memahami desain metode penelitian kualitatif. *Humanika*, 21(1), 33–54.</w:t>
      </w:r>
    </w:p>
    <w:p>
      <w:pPr>
        <w:ind w:left="720" w:hanging="436"/>
        <w:spacing/>
        <w:jc w:val="both"/>
        <w:rPr>
          <w:rFonts w:ascii="Times New Roman" w:hAnsi="Times New Roman" w:eastAsia="Times New Roman" w:cs="Times New Roman"/>
          <w:color w:val="000000"/>
        </w:rPr>
      </w:pPr>
      <w:r>
        <w:rPr>
          <w:rFonts w:ascii="Times New Roman" w:hAnsi="Times New Roman" w:eastAsia="Times New Roman" w:cs="Times New Roman"/>
          <w:color w:val="000000"/>
        </w:rPr>
        <w:t>Fredricks, J. A., Reschly, A. L., &amp; Christenson, S. L. (2022). Handbook of student engagement interventions. Academic Press.</w:t>
      </w:r>
    </w:p>
    <w:p>
      <w:pPr>
        <w:ind w:left="720" w:hanging="436"/>
        <w:spacing/>
        <w:jc w:val="both"/>
        <w:rPr>
          <w:rFonts w:ascii="Times New Roman" w:hAnsi="Times New Roman" w:eastAsia="Times New Roman" w:cs="Times New Roman"/>
          <w:color w:val="000000"/>
        </w:rPr>
      </w:pPr>
      <w:r>
        <w:rPr>
          <w:rFonts w:ascii="Times New Roman" w:hAnsi="Times New Roman" w:eastAsia="Times New Roman" w:cs="Times New Roman"/>
          <w:color w:val="000000"/>
        </w:rPr>
        <w:t>Kahu, E. R., &amp; Nelson, K. (2020). Student engagement in the educational interface: Understanding the mechanisms of student success. Higher Education Research &amp; Development, 39(5), 1–14.</w:t>
      </w:r>
    </w:p>
    <w:p>
      <w:pPr>
        <w:ind w:left="720" w:hanging="436"/>
        <w:spacing/>
        <w:jc w:val="both"/>
        <w:rPr>
          <w:rFonts w:ascii="Times New Roman" w:hAnsi="Times New Roman" w:eastAsia="Times New Roman" w:cs="Times New Roman"/>
          <w:color w:val="000000"/>
        </w:rPr>
      </w:pPr>
      <w:r>
        <w:rPr>
          <w:rFonts w:ascii="Times New Roman" w:hAnsi="Times New Roman" w:eastAsia="Times New Roman" w:cs="Times New Roman"/>
          <w:color w:val="000000"/>
        </w:rPr>
        <w:t>Kusumaningtyas, D. I., Kumalasani, M. P., &amp; Maulidia, V. N. (2022). Keterampilan pengelolaan kelas mahasiswa PGSD pada praktik mengajar di sekolah dasar. JP2SD (Jurnal Pemikiran dan Pengembangan Sekolah Dasar), 10(2), 186–201.</w:t>
      </w:r>
    </w:p>
    <w:p>
      <w:pPr>
        <w:ind w:left="720" w:hanging="436"/>
        <w:spacing/>
        <w:jc w:val="both"/>
        <w:rPr>
          <w:rFonts w:ascii="Times New Roman" w:hAnsi="Times New Roman" w:eastAsia="Times New Roman" w:cs="Times New Roman"/>
          <w:color w:val="000000"/>
        </w:rPr>
      </w:pPr>
      <w:r>
        <w:rPr>
          <w:rFonts w:ascii="Times New Roman" w:hAnsi="Times New Roman" w:eastAsia="Times New Roman" w:cs="Times New Roman"/>
          <w:color w:val="000000"/>
        </w:rPr>
        <w:t>Kusumaningtyas, M. (2019). Haji backpacker: Peluang dan tantangan. MALIA: Jurnal Ekonomi Islam, 11(1), 39–52.</w:t>
      </w:r>
    </w:p>
    <w:p>
      <w:pPr>
        <w:ind w:left="720" w:hanging="436"/>
        <w:spacing/>
        <w:jc w:val="both"/>
        <w:rPr>
          <w:rFonts w:ascii="Times New Roman" w:hAnsi="Times New Roman" w:eastAsia="Times New Roman" w:cs="Times New Roman"/>
          <w:highlight w:val="white"/>
          <w:i/>
          <w:iCs/>
          <w:color w:val="000000"/>
        </w:rPr>
      </w:pPr>
      <w:r>
        <w:rPr>
          <w:rFonts w:ascii="Times New Roman" w:hAnsi="Times New Roman" w:eastAsia="Times New Roman" w:cs="Times New Roman"/>
          <w:i/>
          <w:iCs/>
          <w:color w:val="000000"/>
        </w:rPr>
        <w:t>Kusumaningtyas, M. (2019). Haji backpacker: Peluang dan tantangan. MALIA: Jurnal Ekonomi Islam, 11(1), 39–52.</w:t>
      </w:r>
      <w:r>
        <w:rPr>
          <w:rFonts w:ascii="Times New Roman" w:hAnsi="Times New Roman" w:eastAsia="Times New Roman" w:cs="Times New Roman"/>
          <w:highlight w:val="white"/>
          <w:i/>
          <w:iCs/>
          <w:color w:val="000000"/>
        </w:rPr>
      </w:r>
    </w:p>
    <w:p>
      <w:pPr>
        <w:ind w:left="720" w:hanging="436"/>
        <w:spacing/>
        <w:jc w:val="both"/>
        <w:rPr>
          <w:rFonts w:ascii="Times New Roman" w:hAnsi="Times New Roman" w:eastAsia="Times New Roman" w:cs="Times New Roman"/>
          <w:color w:val="000000"/>
        </w:rPr>
      </w:pPr>
      <w:r>
        <w:rPr>
          <w:rFonts w:ascii="Times New Roman" w:hAnsi="Times New Roman" w:eastAsia="Times New Roman" w:cs="Times New Roman"/>
          <w:color w:val="000000"/>
        </w:rPr>
        <w:t>Lee, J., Jeong, H. J., &amp; Kim, S. (2021). Stress, anxiety, and depression among undergraduate students during the COVID-19 pandemic and related factors. International Journal of Environmental Research and Public Health, 18(14), 1–15.</w:t>
      </w:r>
    </w:p>
    <w:p>
      <w:pPr>
        <w:ind w:left="720" w:hanging="436"/>
        <w:spacing/>
        <w:jc w:val="both"/>
        <w:rPr>
          <w:rFonts w:ascii="Times New Roman" w:hAnsi="Times New Roman" w:eastAsia="Times New Roman" w:cs="Times New Roman"/>
          <w:color w:val="000000"/>
        </w:rPr>
      </w:pPr>
      <w:r>
        <w:rPr>
          <w:rFonts w:ascii="Times New Roman" w:hAnsi="Times New Roman" w:eastAsia="Times New Roman" w:cs="Times New Roman"/>
          <w:color w:val="000000"/>
        </w:rPr>
        <w:t>Manz, C. C. (2020). *Self-leadership: The definitive guide to personal excellence*. Wiley.</w:t>
      </w:r>
    </w:p>
    <w:p>
      <w:pPr>
        <w:ind w:left="720" w:hanging="436"/>
        <w:spacing/>
        <w:jc w:val="both"/>
        <w:rPr>
          <w:rFonts w:ascii="Times New Roman" w:hAnsi="Times New Roman" w:eastAsia="Times New Roman" w:cs="Times New Roman"/>
          <w:color w:val="000000"/>
        </w:rPr>
      </w:pPr>
      <w:r>
        <w:rPr>
          <w:rFonts w:ascii="Times New Roman" w:hAnsi="Times New Roman" w:eastAsia="Times New Roman" w:cs="Times New Roman"/>
          <w:color w:val="000000"/>
        </w:rPr>
        <w:t>Maslach, C., &amp; Leiter, M. P. (2021). *Burnout and engagement in the workplace: New perspectives*. Cambridge University Press.</w:t>
      </w:r>
    </w:p>
    <w:p>
      <w:pPr>
        <w:ind w:left="720" w:hanging="436"/>
        <w:spacing/>
        <w:jc w:val="both"/>
        <w:rPr>
          <w:rFonts w:ascii="Times New Roman" w:hAnsi="Times New Roman" w:eastAsia="Times New Roman" w:cs="Times New Roman"/>
          <w:color w:val="000000"/>
        </w:rPr>
      </w:pPr>
      <w:r>
        <w:rPr>
          <w:rFonts w:ascii="Times New Roman" w:hAnsi="Times New Roman" w:eastAsia="Times New Roman" w:cs="Times New Roman"/>
          <w:color w:val="000000"/>
        </w:rPr>
        <w:t>Mheidly, N., &amp; Fares, J. (2020). Leveraging media and health communication strategies to overcome the COVID-19 infodemic. Journal of Public Health Policy, 41(4), 410–420.</w:t>
      </w:r>
    </w:p>
    <w:p>
      <w:pPr>
        <w:ind w:left="720" w:hanging="436"/>
        <w:spacing/>
        <w:jc w:val="both"/>
        <w:rPr>
          <w:rFonts w:ascii="Times New Roman" w:hAnsi="Times New Roman" w:eastAsia="Times New Roman" w:cs="Times New Roman"/>
          <w:color w:val="000000"/>
        </w:rPr>
      </w:pPr>
      <w:r>
        <w:rPr>
          <w:rFonts w:ascii="Times New Roman" w:hAnsi="Times New Roman" w:eastAsia="Times New Roman" w:cs="Times New Roman"/>
          <w:color w:val="000000"/>
        </w:rPr>
        <w:t>Miles, M. B., Huberman, A. M., &amp; Saldaña, J. (2020). *Qualitative data analysis: A methods sourcebook* (4th ed.). Sage Publications.</w:t>
      </w:r>
    </w:p>
    <w:p>
      <w:pPr>
        <w:ind w:left="720" w:hanging="436"/>
        <w:spacing/>
        <w:jc w:val="both"/>
        <w:rPr>
          <w:rFonts w:ascii="Times New Roman" w:hAnsi="Times New Roman" w:eastAsia="Times New Roman" w:cs="Times New Roman"/>
          <w:color w:val="000000"/>
        </w:rPr>
      </w:pPr>
      <w:r>
        <w:rPr>
          <w:rFonts w:ascii="Times New Roman" w:hAnsi="Times New Roman" w:eastAsia="Times New Roman" w:cs="Times New Roman"/>
          <w:color w:val="000000"/>
        </w:rPr>
        <w:t>Oducado, R. M. F., &amp; Estoque, H. (2021). Online learning in nursing education during the COVID-19 pandemic: Stress, satisfaction, and academic performance. Journal of Nursing Practice, 4(2), 143–153.</w:t>
      </w:r>
    </w:p>
    <w:p>
      <w:pPr>
        <w:ind w:left="720" w:hanging="436"/>
        <w:spacing/>
        <w:jc w:val="both"/>
        <w:rPr>
          <w:rFonts w:ascii="Times New Roman" w:hAnsi="Times New Roman" w:eastAsia="Times New Roman" w:cs="Times New Roman"/>
          <w:color w:val="000000"/>
        </w:rPr>
      </w:pPr>
      <w:r>
        <w:rPr>
          <w:rFonts w:ascii="Times New Roman" w:hAnsi="Times New Roman" w:eastAsia="Times New Roman" w:cs="Times New Roman"/>
          <w:color w:val="000000"/>
        </w:rPr>
        <w:t>Sari, N., &amp; Nugroho, A. (2022). Dampak digital fatigue terhadap motivasi belajar mahasiswa pada pembelajaran daring. Jurnal Pendidikan Indonesia, 11(2), 145–154.</w:t>
      </w:r>
    </w:p>
    <w:p>
      <w:pPr>
        <w:ind w:left="720" w:hanging="436"/>
        <w:spacing/>
        <w:jc w:val="both"/>
        <w:rPr>
          <w:rFonts w:ascii="Times New Roman" w:hAnsi="Times New Roman" w:eastAsia="Times New Roman" w:cs="Times New Roman"/>
          <w:color w:val="000000"/>
        </w:rPr>
      </w:pPr>
      <w:r>
        <w:rPr>
          <w:rFonts w:ascii="Times New Roman" w:hAnsi="Times New Roman" w:eastAsia="Times New Roman" w:cs="Times New Roman"/>
          <w:color w:val="000000"/>
        </w:rPr>
        <w:t>Sugiyono. (2022). *Metode penelitian kualitatif*. Alfabeta.</w:t>
      </w:r>
    </w:p>
    <w:p>
      <w:pPr>
        <w:ind w:left="720" w:hanging="436"/>
        <w:spacing/>
        <w:jc w:val="both"/>
        <w:rPr>
          <w:rFonts w:ascii="Times New Roman" w:hAnsi="Times New Roman" w:eastAsia="Times New Roman" w:cs="Times New Roman"/>
          <w:color w:val="000000"/>
        </w:rPr>
      </w:pPr>
      <w:r>
        <w:rPr>
          <w:rFonts w:ascii="Times New Roman" w:hAnsi="Times New Roman" w:eastAsia="Times New Roman" w:cs="Times New Roman"/>
          <w:color w:val="000000"/>
        </w:rPr>
        <w:t>Tersta, F. W., Eviliana, N., Novianti, A., &amp; Arief, H. (2023). Competitiveness vs unmotivated: Studi fenomenologi pengalaman mahasiswa dalam penggunaan learning management system (LMS). *Edutech*, 22(2), 120–132.</w:t>
      </w:r>
    </w:p>
    <w:p>
      <w:pPr>
        <w:ind w:left="720" w:hanging="436"/>
        <w:spacing/>
        <w:jc w:val="both"/>
        <w:rPr>
          <w:rFonts w:ascii="Times New Roman" w:hAnsi="Times New Roman" w:eastAsia="Times New Roman" w:cs="Times New Roman"/>
          <w:color w:val="000000"/>
        </w:rPr>
      </w:pPr>
      <w:r>
        <w:rPr>
          <w:rFonts w:ascii="Times New Roman" w:hAnsi="Times New Roman" w:eastAsia="Times New Roman" w:cs="Times New Roman"/>
          <w:color w:val="000000"/>
        </w:rPr>
        <w:t>Timario, R. R., &amp; Lomibao, L. S. (2023). Exploring the lived experiences of college students with flexible learning in mathematics: A phenomenological study. *American Journal of Educational Research*, 11(5), 297–302.</w:t>
      </w:r>
    </w:p>
    <w:sectPr>
      <w:footnotePr>
        <w:pos w:val="pageBottom"/>
        <w:numFmt w:val="decimal"/>
        <w:numStart w:val="1"/>
        <w:numRestart w:val="continuous"/>
      </w:footnotePr>
      <w:endnotePr>
        <w:pos w:val="docEnd"/>
        <w:numFmt w:val="lowerRoman"/>
        <w:numStart w:val="1"/>
        <w:numRestart w:val="continuous"/>
      </w:endnotePr>
      <w:headerReference w:type="default" r:id="rId8"/>
      <w:footerReference w:type="default" r:id="rId9"/>
      <w:type w:val="nextPage"/>
      <w:pgSz w:h="16838" w:w="11906"/>
      <w:pgMar w:left="1136" w:top="2673" w:right="1136" w:bottom="1695" w:header="1136" w:footer="1136"/>
      <w:paperSrc w:first="0" w:other="0" a="0" b="0"/>
      <w:pgNumType w:fmt="decimal" w:start="119"/>
      <w:tmGutter w:val="3"/>
      <w:mirrorMargins w:val="0"/>
      <w:tmSection w:h="-2">
        <w:tmHeader w:id="0" w:h="0" edge="1136" text="0">
          <w:shd w:val="none"/>
        </w:tmHeader>
        <w:tmFooter w:id="0" w:h="0" edge="1136"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charset w:val="00"/>
    <w:family w:val="auto"/>
    <w:pitch w:val="default"/>
  </w:font>
  <w:font w:name="Times New Roman">
    <w:charset w:val="00"/>
    <w:family w:val="roman"/>
    <w:pitch w:val="default"/>
  </w:font>
  <w:font w:name="Georgia">
    <w:charset w:val="00"/>
    <w:family w:val="roman"/>
    <w:pitch w:val="default"/>
    <w:embedRegular r:id="rId1" w:fontKey="{AE296377-29D3-7C29-69F6-584563D59D4E}"/>
  </w:font>
  <w:font w:name="Arial">
    <w:charset w:val="00"/>
    <w:family w:val="swiss"/>
    <w:pitch w:val="default"/>
  </w:font>
  <w:font w:name="Verdana">
    <w:charset w:val="00"/>
    <w:family w:val="swiss"/>
    <w:pitch w:val="default"/>
    <w:embedRegular r:id="rId2" w:fontKey="{15D7802E-D06C-F1E7-6E7D-397408FE0B0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spacing/>
      <w:jc w:val="right"/>
      <w:tabs defTabSz="720">
        <w:tab w:val="center" w:pos="4817" w:leader="none"/>
        <w:tab w:val="right" w:pos="9634" w:leader="none"/>
      </w:tabs>
      <w:rPr>
        <w:color w:val="000000"/>
      </w:rPr>
    </w:pPr>
    <w:r>
      <w:rPr>
        <w:color w:val="000000"/>
      </w:rPr>
      <w:fldChar w:fldCharType="begin"/>
      <w:instrText xml:space="preserve"> PAGE </w:instrText>
      <w:fldChar w:fldCharType="separate"/>
      <w:t>133</w:t>
      <w:fldChar w:fldCharType="end"/>
    </w:r>
  </w:p>
  <w:p>
    <w:pPr>
      <w:spacing/>
      <w:jc w:val="center"/>
      <w:tabs defTabSz="720">
        <w:tab w:val="center" w:pos="4817" w:leader="none"/>
        <w:tab w:val="right" w:pos="9634" w:leader="none"/>
      </w:tabs>
      <w:rPr>
        <w:rFonts w:ascii="Verdana" w:hAnsi="Verdana" w:eastAsia="Verdana" w:cs="Verdana"/>
        <w:color w:val="222222"/>
        <w:sz w:val="18"/>
        <w:szCs w:val="18"/>
      </w:rPr>
    </w:pPr>
    <w:r>
      <w:rPr>
        <w:rFonts w:ascii="Verdana" w:hAnsi="Verdana" w:eastAsia="Verdana" w:cs="Verdana"/>
        <w:color w:val="222222"/>
        <w:sz w:val="18"/>
        <w:szCs w:val="18"/>
      </w:rPr>
    </w:r>
  </w:p>
  <w:p>
    <w:pPr>
      <w:spacing/>
      <w:jc w:val="center"/>
      <w:tabs defTabSz="720">
        <w:tab w:val="center" w:pos="4817" w:leader="none"/>
        <w:tab w:val="right" w:pos="9634" w:leader="none"/>
      </w:tabs>
      <w:rPr>
        <w:rFonts w:ascii="Verdana" w:hAnsi="Verdana" w:eastAsia="Verdana" w:cs="Verdana"/>
        <w:highlight w:val="white"/>
        <w:color w:val="222222"/>
        <w:sz w:val="18"/>
        <w:szCs w:val="18"/>
      </w:rPr>
    </w:pPr>
    <w:r>
      <w:rPr>
        <w:rFonts w:ascii="Verdana" w:hAnsi="Verdana" w:eastAsia="Verdana" w:cs="Verdana"/>
        <w:color w:val="222222"/>
        <w:sz w:val="18"/>
        <w:szCs w:val="18"/>
      </w:rPr>
    </w:r>
    <w:r>
      <w:rPr>
        <w:noProof/>
      </w:rPr>
      <w:drawing>
        <wp:inline distT="0" distB="0" distL="0" distR="0">
          <wp:extent cx="558800" cy="1905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2" name="image2.png"/>
                  <pic:cNvPicPr>
                    <a:extLst>
                      <a:ext uri="sm">
                        <sm:smNativeData xmlns:sm="sm" val="SMDATA_17_bhpwah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CAAAAl6AAAAAAAAAAAAAAAAAAAAAAAAAAAAAAAAAAAAAAAAAAAAAAcAMAACwBAAAAAAAAAAAAAAAAAAAoAAAACAAAAAEAAAABAAAAMAAAABQAAAAAAAAAAAD//wAAAQAAAP//AAABAA=="/>
                      </a:ext>
                    </a:extLst>
                  </pic:cNvPicPr>
                </pic:nvPicPr>
                <pic:blipFill>
                  <a:blip r:embed="rId1"/>
                  <a:stretch>
                    <a:fillRect/>
                  </a:stretch>
                </pic:blipFill>
                <pic:spPr>
                  <a:xfrm>
                    <a:off x="0" y="0"/>
                    <a:ext cx="558800" cy="190500"/>
                  </a:xfrm>
                  <a:prstGeom prst="rect">
                    <a:avLst/>
                  </a:prstGeom>
                  <a:noFill/>
                  <a:ln w="9525">
                    <a:noFill/>
                  </a:ln>
                </pic:spPr>
              </pic:pic>
            </a:graphicData>
          </a:graphic>
        </wp:inline>
      </w:drawing>
    </w:r>
    <w:r>
      <w:rPr>
        <w:rFonts w:ascii="Verdana" w:hAnsi="Verdana" w:eastAsia="Verdana" w:cs="Verdana"/>
        <w:color w:val="222222"/>
        <w:sz w:val="18"/>
        <w:szCs w:val="18"/>
      </w:rPr>
    </w:r>
    <w:r>
      <w:rPr>
        <w:rFonts w:ascii="Verdana" w:hAnsi="Verdana" w:eastAsia="Verdana" w:cs="Verdana"/>
        <w:highlight w:val="white"/>
        <w:color w:val="222222"/>
        <w:sz w:val="18"/>
        <w:szCs w:val="18"/>
      </w:rPr>
    </w:r>
  </w:p>
  <w:p>
    <w:pPr>
      <w:spacing/>
      <w:jc w:val="center"/>
      <w:tabs defTabSz="720">
        <w:tab w:val="center" w:pos="4817" w:leader="none"/>
        <w:tab w:val="right" w:pos="9634" w:leader="none"/>
      </w:tabs>
    </w:pPr>
    <w:r>
      <w:rPr>
        <w:rFonts w:ascii="Verdana" w:hAnsi="Verdana" w:eastAsia="Verdana" w:cs="Verdana"/>
        <w:highlight w:val="white"/>
        <w:color w:val="222222"/>
        <w:sz w:val="18"/>
        <w:szCs w:val="18"/>
      </w:rPr>
      <w:t xml:space="preserve">This work is licensed under a </w:t>
    </w:r>
    <w:hyperlink r:id="rId2" w:history="1">
      <w:r>
        <w:rPr>
          <w:rFonts w:ascii="Verdana" w:hAnsi="Verdana" w:eastAsia="Verdana" w:cs="Verdana"/>
          <w:highlight w:val="white"/>
          <w:color w:val="4682b4"/>
          <w:sz w:val="18"/>
          <w:szCs w:val="18"/>
        </w:rPr>
        <w:t>Creative Commons Attribution-ShareAlike 4.0 International License</w:t>
      </w:r>
    </w:hyperlink>
    <w:r>
      <w:rPr>
        <w:rFonts w:ascii="Verdana" w:hAnsi="Verdana" w:eastAsia="Verdana" w:cs="Verdana"/>
        <w:highlight w:val="white"/>
        <w:color w:val="222222"/>
        <w:sz w:val="18"/>
        <w:szCs w:val="18"/>
      </w:rPr>
      <w:t>.</w:t>
    </w:r>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spacing w:line="276" w:lineRule="auto"/>
      <w:widowControl w:val="0"/>
    </w:pPr>
    <w:r/>
  </w:p>
  <w:tbl>
    <w:tblPr>
      <w:tblStyle w:val=""/>
      <w:name w:val="Table1"/>
      <w:tabOrder w:val="0"/>
      <w:jc w:val="left"/>
      <w:tblInd w:w="-55" w:type="dxa"/>
      <w:tblW w:w="9643" w:type="dxa"/>
      <w:pPr>
        <w:ind w:left="-55"/>
      </w:pPr>
      <w:tblLook w:val="0400" w:firstRow="0" w:lastRow="0" w:firstColumn="0" w:lastColumn="0" w:noHBand="0" w:noVBand="1"/>
    </w:tblPr>
    <w:tblGrid>
      <w:gridCol w:w="1435"/>
      <w:gridCol w:w="6749"/>
      <w:gridCol w:w="1459"/>
    </w:tblGrid>
    <w:tr>
      <w:trPr>
        <w:tblHeader w:val="0"/>
        <w:cantSplit w:val="0"/>
        <w:trHeight w:val="1168" w:hRule="atLeast"/>
      </w:trPr>
      <w:tc>
        <w:tcPr>
          <w:tcW w:w="1435" w:type="dxa"/>
          <w:vAlign w:val="center"/>
          <w:shd w:val="none"/>
          <w:tmTcPr id="1785731694" protected="0"/>
        </w:tcPr>
        <w:p>
          <w:pPr>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color w:val="000000"/>
            </w:rPr>
          </w:pPr>
          <w:r>
            <w:rPr>
              <w:noProof/>
            </w:rPr>
            <w:drawing>
              <wp:anchor distT="0" distB="0" distL="0" distR="0" simplePos="0" relativeHeight="251658243" behindDoc="0" locked="0" layoutInCell="1" hidden="0" allowOverlap="1">
                <wp:simplePos x="0" y="0"/>
                <wp:positionH relativeFrom="column">
                  <wp:posOffset>2738755</wp:posOffset>
                </wp:positionH>
                <wp:positionV relativeFrom="paragraph">
                  <wp:posOffset>635</wp:posOffset>
                </wp:positionV>
                <wp:extent cx="640080" cy="640080"/>
                <wp:effectExtent l="0" t="0" r="0" b="0"/>
                <wp:wrapSquare wrapText="bothSides"/>
                <wp:docPr id="3" name="image3.png"/>
                <wp:cNvGraphicFramePr/>
                <a:graphic xmlns:a="http://schemas.openxmlformats.org/drawingml/2006/main">
                  <a:graphicData uri="http://schemas.openxmlformats.org/drawingml/2006/picture">
                    <pic:pic xmlns:pic="http://schemas.openxmlformats.org/drawingml/2006/picture">
                      <pic:nvPicPr>
                        <pic:cNvPr id="3" name="image3.png"/>
                        <pic:cNvPicPr>
                          <a:codePr string="" type="365350912" text="1"/>
                          <a:extLst>
                            <a:ext uri="sm">
                              <sm:smNativeData xmlns:sm="sm" val="SMDATA_17_bhpwah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BAAAAGKIAAAAAAAABAAAAAAAAAAIAAADZEAAAAAAAAAIAAAABAAAA8AMAAPADAAAAAAAASRUAAMwFAAAoAAAACAAAAAEAAAABAAAAMAAAABQAAAAAAAAAAAD//wAAAQAAAP//AAABAA=="/>
                            </a:ext>
                          </a:extLst>
                        </pic:cNvPicPr>
                      </pic:nvPicPr>
                      <pic:blipFill>
                        <a:blip r:embed="rId1"/>
                        <a:stretch>
                          <a:fillRect/>
                        </a:stretch>
                      </pic:blipFill>
                      <pic:spPr>
                        <a:xfrm>
                          <a:off x="0" y="0"/>
                          <a:ext cx="640080" cy="640080"/>
                        </a:xfrm>
                        <a:prstGeom prst="rect">
                          <a:avLst/>
                        </a:prstGeom>
                        <a:noFill/>
                        <a:ln w="9525">
                          <a:noFill/>
                        </a:ln>
                      </pic:spPr>
                    </pic:pic>
                  </a:graphicData>
                </a:graphic>
              </wp:anchor>
            </w:drawing>
          </w:r>
          <w:r>
            <w:rPr>
              <w:color w:val="000000"/>
            </w:rPr>
          </w:r>
        </w:p>
      </w:tc>
      <w:tc>
        <w:tcPr>
          <w:tcW w:w="6749" w:type="dxa"/>
          <w:vAlign w:val="center"/>
          <w:shd w:val="none"/>
          <w:tmTcPr id="1785731694" protected="0"/>
        </w:tcPr>
        <w:p>
          <w:pPr>
            <w:spacing/>
            <w:jc w:val="center"/>
            <w:tabs defTabSz="720">
              <w:tab w:val="center" w:pos="4819" w:leader="none"/>
              <w:tab w:val="right" w:pos="9638"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b/>
              <w:bCs/>
              <w:color w:val="000000"/>
            </w:rPr>
          </w:pPr>
          <w:r>
            <w:rPr>
              <w:b/>
              <w:bCs/>
              <w:color w:val="000000"/>
            </w:rPr>
            <w:t>JABis: Jurnal Administrasi Bisnis</w:t>
          </w:r>
        </w:p>
        <w:p>
          <w:pPr>
            <w:spacing/>
            <w:jc w:val="center"/>
            <w:tabs defTabSz="720">
              <w:tab w:val="center" w:pos="4819" w:leader="none"/>
              <w:tab w:val="right" w:pos="9638"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color w:val="000000"/>
            </w:rPr>
          </w:pPr>
          <w:hyperlink r:id="rId2" w:history="1">
            <w:r>
              <w:rPr>
                <w:color w:val="0000ff"/>
                <w:sz w:val="20"/>
                <w:szCs w:val="20"/>
                <w:u w:color="auto" w:val="single"/>
              </w:rPr>
              <w:t>http://jurnal.upnyk.ac.id/index.php/jiab/index</w:t>
            </w:r>
          </w:hyperlink>
          <w:r>
            <w:rPr>
              <w:color w:val="000000"/>
              <w:sz w:val="20"/>
              <w:szCs w:val="20"/>
            </w:rPr>
            <w:t xml:space="preserve"> </w:t>
          </w:r>
          <w:r>
            <w:rPr>
              <w:color w:val="000000"/>
            </w:rPr>
          </w:r>
        </w:p>
        <w:p>
          <w:pPr>
            <w:spacing/>
            <w:jc w:val="center"/>
            <w:tabs defTabSz="720">
              <w:tab w:val="center" w:pos="4819" w:leader="none"/>
              <w:tab w:val="right" w:pos="9638"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0"/>
              <w:szCs w:val="20"/>
            </w:rPr>
          </w:pPr>
          <w:r>
            <w:rPr>
              <w:color w:val="000000"/>
              <w:sz w:val="20"/>
              <w:szCs w:val="20"/>
            </w:rPr>
            <w:t xml:space="preserve">P-ISSN: 1829-7277. E-ISSN: </w:t>
          </w:r>
          <w:r>
            <w:rPr>
              <w:sz w:val="20"/>
              <w:szCs w:val="20"/>
            </w:rPr>
            <w:t>2745-715X</w:t>
          </w:r>
        </w:p>
        <w:p>
          <w:pPr>
            <w:spacing/>
            <w:jc w:val="center"/>
            <w:tabs defTabSz="720">
              <w:tab w:val="center" w:pos="4819" w:leader="none"/>
              <w:tab w:val="right" w:pos="9638"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rFonts w:ascii="Arial" w:hAnsi="Arial" w:eastAsia="Arial" w:cs="Arial"/>
              <w:color w:val="1155cc"/>
              <w:sz w:val="22"/>
              <w:szCs w:val="22"/>
            </w:rPr>
          </w:pPr>
          <w:hyperlink r:id="rId3" w:history="1">
            <w:r>
              <w:rPr>
                <w:rFonts w:ascii="Arial" w:hAnsi="Arial" w:eastAsia="Arial" w:cs="Arial"/>
                <w:highlight w:val="white"/>
                <w:color w:val="0000ff"/>
                <w:sz w:val="20"/>
                <w:szCs w:val="20"/>
                <w:u w:color="auto" w:val="single"/>
              </w:rPr>
              <w:t>https://doi.org/xx.xxxx.xxxx</w:t>
            </w:r>
          </w:hyperlink>
        </w:p>
      </w:tc>
      <w:tc>
        <w:tcPr>
          <w:tcW w:w="1459" w:type="dxa"/>
          <w:vAlign w:val="center"/>
          <w:shd w:val="none"/>
          <w:tmTcPr id="1785731694" protected="0"/>
        </w:tcPr>
        <w:p>
          <w:pPr>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color w:val="000000"/>
            </w:rPr>
          </w:pPr>
          <w:r>
            <w:rPr>
              <w:noProof/>
            </w:rPr>
            <w:drawing>
              <wp:inline distT="0" distB="0" distL="0" distR="0">
                <wp:extent cx="546100" cy="772795"/>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1" name="image4.png"/>
                        <pic:cNvPicPr>
                          <a:codePr string="" type="626518932" text="1"/>
                          <a:extLst>
                            <a:ext uri="sm">
                              <sm:smNativeData xmlns:sm="sm" val="SMDATA_17_bhpwah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BAAAAF6AAAAAAAAACAAAAAAAAAAAAAAAAAAAAAAAAAAAAAAAAAAAAXAMAAMEEAAAAAAAAAAAAAAAAAAAoAAAACAAAAAEAAAABAAAAMAAAABQAAAAAAAAAAAD//wAAAQAAAP//AAABAA=="/>
                            </a:ext>
                          </a:extLst>
                        </pic:cNvPicPr>
                      </pic:nvPicPr>
                      <pic:blipFill>
                        <a:blip r:embed="rId4"/>
                        <a:stretch>
                          <a:fillRect/>
                        </a:stretch>
                      </pic:blipFill>
                      <pic:spPr>
                        <a:xfrm>
                          <a:off x="0" y="0"/>
                          <a:ext cx="546100" cy="772795"/>
                        </a:xfrm>
                        <a:prstGeom prst="rect">
                          <a:avLst/>
                        </a:prstGeom>
                        <a:noFill/>
                        <a:ln w="9525">
                          <a:noFill/>
                        </a:ln>
                      </pic:spPr>
                    </pic:pic>
                  </a:graphicData>
                </a:graphic>
              </wp:inline>
            </w:drawing>
          </w:r>
          <w:r>
            <w:rPr>
              <w:color w:val="000000"/>
            </w:rPr>
          </w:r>
        </w:p>
      </w:tc>
    </w:tr>
  </w:tbl>
  <w:p>
    <w:pPr>
      <w:spacing/>
      <w:jc w:val="center"/>
      <w:tabs defTabSz="720">
        <w:tab w:val="center" w:pos="4819" w:leader="none"/>
        <w:tab w:val="right" w:pos="9638" w:leader="none"/>
      </w:tabs>
      <w:pBdr>
        <w:top w:val="nil" w:sz="0" w:space="3" w:color="000000" tmln="20, 20, 20, 0, 60"/>
        <w:left w:val="nil" w:sz="0" w:space="3" w:color="000000" tmln="20, 20, 20, 0, 60"/>
        <w:bottom w:val="single" w:sz="6" w:space="2" w:color="000000" tmln="15, 20, 20, 0, 40"/>
        <w:right w:val="nil" w:sz="0" w:space="3" w:color="000000" tmln="20, 20, 20, 0, 60"/>
        <w:between w:val="nil" w:sz="0" w:space="0" w:color="000000" tmln="20, 20, 20, 0, 0"/>
      </w:pBdr>
      <w:shd w:val="none"/>
      <w:rPr>
        <w:b/>
        <w:bCs/>
        <w:color w:val="000000"/>
      </w:rPr>
    </w:pPr>
    <w:r>
      <w:rPr>
        <w:b/>
        <w:bCs/>
        <w:color w:val="000000"/>
      </w:rP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embedTrueTypeFonts/>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uppressSpBfAfterPgBrk w:val="1"/>
    <w:compatSetting w:name="compatibilityMode" w:uri="http://schemas.microsoft.com/office/word" w:val="15"/>
  </w:compat>
  <w:shapeDefaults>
    <o:shapedefaults v:ext="edit" spidmax="3073"/>
    <o:shapelayout v:ext="edit">
      <o:rules v:ext="edit"/>
    </o:shapelayout>
  </w:shapeDefaults>
  <w:tmPrefOne w:val="17"/>
  <w:tmPrefTwo w:val="1"/>
  <w:tmFmtPref w:val="55090283"/>
  <w:tmCommentsPr>
    <w:tmCommentsPlace w:val="0"/>
    <w:tmCommentsWidth w:val="3240"/>
    <w:tmCommentsColor w:val="-1"/>
  </w:tmCommentsPr>
  <w:tmReviewPr>
    <w:tmReviewEnabled w:val="0"/>
    <w:tmReviewShow w:val="1"/>
    <w:tmReviewPrint w:val="0"/>
    <w:tmRevisionNum w:val="35"/>
    <w:tmReviewMarkIns w:val="4"/>
    <w:tmReviewColorIns w:val="-1"/>
    <w:tmReviewMarkDel w:val="7"/>
    <w:tmReviewColorDel w:val="-1"/>
    <w:tmReviewMarkFmt w:val="7"/>
    <w:tmReviewColorFmt w:val="-1"/>
    <w:tmReviewMarkLn w:val="1"/>
    <w:tmReviewColorLn w:val="0"/>
    <w:tmReviewToolTip w:val="1"/>
  </w:tmReviewPr>
  <w:tmLastPos>
    <w:tmLastPosPage w:val="13"/>
    <w:tmLastPosSelect w:val="1"/>
    <w:tmLastPosFrameIdx w:val="0"/>
    <w:tmLastPosCaret>
      <w:tmLastPosPgfIdx w:val="139"/>
      <w:tmLastPosIdx w:val="0"/>
    </w:tmLastPosCaret>
    <w:tmLastPosAnchor>
      <w:tmLastPosPgfIdx w:val="138"/>
      <w:tmLastPosIdx w:val="0"/>
    </w:tmLastPosAnchor>
    <w:tmLastPosTblRect w:left="0" w:top="0" w:right="0" w:bottom="0"/>
  </w:tmLastPos>
  <w:tmAppRevision w:date="1785731694" w:val="1225" w:fileVer="342" w:fileVer64="64" w:fileVerOS="2"/>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hAnsi="Liberation Serif" w:eastAsia="Liberation Serif" w:cs="Liberation Serif"/>
        <w:sz w:val="24"/>
        <w:szCs w:val="24"/>
        <w:lang w:val="en-id" w:eastAsia="en-id"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80" w:after="120"/>
      <w:keepNext/>
      <w:outlineLvl w:val="0"/>
      <w:keepLines/>
    </w:pPr>
    <w:rPr>
      <w:b/>
      <w:sz w:val="48"/>
      <w:szCs w:val="48"/>
    </w:rPr>
  </w:style>
  <w:style w:type="paragraph" w:styleId="para2">
    <w:name w:val="heading 2"/>
    <w:qFormat/>
    <w:basedOn w:val="para0"/>
    <w:next w:val="para0"/>
    <w:pPr>
      <w:spacing w:before="360" w:after="80"/>
      <w:keepNext/>
      <w:outlineLvl w:val="1"/>
      <w:keepLines/>
    </w:pPr>
    <w:rPr>
      <w:b/>
      <w:sz w:val="36"/>
      <w:szCs w:val="36"/>
    </w:rPr>
  </w:style>
  <w:style w:type="paragraph" w:styleId="para3">
    <w:name w:val="heading 3"/>
    <w:qFormat/>
    <w:basedOn w:val="para0"/>
    <w:next w:val="para0"/>
    <w:pPr>
      <w:spacing w:before="280" w:after="80"/>
      <w:keepNext/>
      <w:outlineLvl w:val="2"/>
      <w:keepLines/>
    </w:pPr>
    <w:rPr>
      <w:b/>
      <w:sz w:val="28"/>
      <w:szCs w:val="28"/>
    </w:rPr>
  </w:style>
  <w:style w:type="paragraph" w:styleId="para4">
    <w:name w:val="heading 4"/>
    <w:qFormat/>
    <w:basedOn w:val="para0"/>
    <w:next w:val="para0"/>
    <w:pPr>
      <w:spacing w:before="240" w:after="40"/>
      <w:keepNext/>
      <w:outlineLvl w:val="3"/>
      <w:keepLines/>
    </w:pPr>
    <w:rPr>
      <w:b/>
    </w:rPr>
  </w:style>
  <w:style w:type="paragraph" w:styleId="para5">
    <w:name w:val="heading 5"/>
    <w:qFormat/>
    <w:basedOn w:val="para0"/>
    <w:next w:val="para0"/>
    <w:pPr>
      <w:spacing w:before="220" w:after="40"/>
      <w:keepNext/>
      <w:outlineLvl w:val="4"/>
      <w:keepLines/>
    </w:pPr>
    <w:rPr>
      <w:b/>
      <w:sz w:val="22"/>
      <w:szCs w:val="22"/>
    </w:rPr>
  </w:style>
  <w:style w:type="paragraph" w:styleId="para6">
    <w:name w:val="heading 6"/>
    <w:qFormat/>
    <w:basedOn w:val="para0"/>
    <w:next w:val="para0"/>
    <w:pPr>
      <w:spacing w:before="200" w:after="40"/>
      <w:keepNext/>
      <w:outlineLvl w:val="5"/>
      <w:keepLines/>
    </w:pPr>
    <w:rPr>
      <w:b/>
      <w:sz w:val="20"/>
      <w:szCs w:val="20"/>
    </w:rPr>
  </w:style>
  <w:style w:type="paragraph" w:styleId="para7">
    <w:name w:val="Title"/>
    <w:qFormat/>
    <w:basedOn w:val="para0"/>
    <w:next w:val="para0"/>
    <w:pPr>
      <w:spacing/>
      <w:jc w:val="center"/>
    </w:pPr>
    <w:rPr>
      <w:sz w:val="40"/>
      <w:szCs w:val="40"/>
    </w:rPr>
  </w:style>
  <w:style w:type="paragraph" w:styleId="para8">
    <w:name w:val="Subtitle"/>
    <w:qFormat/>
    <w:basedOn w:val="para0"/>
    <w:next w:val="para0"/>
    <w:pPr>
      <w:spacing w:before="360" w:after="80"/>
      <w:keepNext/>
      <w:keepLines/>
    </w:pPr>
    <w:rPr>
      <w:rFonts w:ascii="Georgia" w:hAnsi="Georgia" w:eastAsia="Georgia" w:cs="Georgia"/>
      <w:i/>
      <w:iCs/>
      <w:color w:val="666666"/>
      <w:sz w:val="48"/>
      <w:szCs w:val="48"/>
    </w:rPr>
  </w:style>
  <w:style w:type="paragraph" w:styleId="para9">
    <w:name w:val="Header"/>
    <w:qFormat/>
    <w:basedOn w:val="para0"/>
    <w:pPr>
      <w:tabs defTabSz="720">
        <w:tab w:val="center" w:pos="4513" w:leader="none"/>
        <w:tab w:val="right" w:pos="9026" w:leader="none"/>
      </w:tabs>
    </w:pPr>
  </w:style>
  <w:style w:type="paragraph" w:styleId="para10">
    <w:name w:val="Footer"/>
    <w:qFormat/>
    <w:basedOn w:val="para0"/>
    <w:pPr>
      <w:tabs defTabSz="720">
        <w:tab w:val="center" w:pos="4513" w:leader="none"/>
        <w:tab w:val="right" w:pos="9026" w:leader="none"/>
      </w:tabs>
    </w:pPr>
  </w:style>
  <w:style w:type="character" w:styleId="char0" w:default="1">
    <w:name w:val="Default Paragraph Font"/>
  </w:style>
  <w:style w:type="character" w:styleId="char1" w:customStyle="1">
    <w:name w:val="Header Char"/>
    <w:basedOn w:val="char0"/>
  </w:style>
  <w:style w:type="character" w:styleId="char2" w:customStyle="1">
    <w:name w:val="Footer Char"/>
    <w:basedOn w:val="char0"/>
  </w:style>
  <w:style w:type="character" w:styleId="char3">
    <w:name w:val="Hyperlink"/>
    <w:basedOn w:val="char0"/>
    <w:rPr>
      <w:color w:val="0000ff"/>
      <w:u w:color="auto" w:val="single"/>
    </w:rPr>
  </w:style>
  <w:style w:type="character" w:styleId="char4" w:customStyle="1">
    <w:name w:val="Unresolved Mention"/>
    <w:basedOn w:val="char0"/>
    <w:rPr>
      <w:color w:val="605e5c"/>
      <w:shd w:val="clear" w:fill="e1dfdd"/>
    </w:rPr>
  </w:style>
  <w:style w:type="character" w:styleId="char5" w:customStyle="1">
    <w:name w:val="normaltextrun"/>
    <w:basedOn w:val="char0"/>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Normal">
    <w:name w:val="TableNormal"/>
    <w:tblPr>
      <w:tblCellMar>
        <w:top w:w="100" w:type="dxa"/>
        <w:left w:w="100" w:type="dxa"/>
        <w:bottom w:w="100" w:type="dxa"/>
        <w:right w:w="100" w:type="dxa"/>
      </w:tblCellMar>
    </w:tblPr>
  </w:style>
  <w:style w:type="table">
    <w:name w:val=""/>
    <w:basedOn w:val="TableNormal"/>
    <w:tblPr>
      <w:tblStyleRowBandSize w:val="1"/>
      <w:tblStyleColBandSize w:val="1"/>
      <w:tblCellMar>
        <w:left w:w="115" w:type="dxa"/>
        <w:right w:w="115" w:type="dxa"/>
      </w:tblCellMar>
    </w:tblPr>
  </w:style>
  <w:style w:type="table">
    <w:name w:val=""/>
    <w:basedOn w:val="TableNormal"/>
    <w:tblPr>
      <w:tblStyleRowBandSize w:val="1"/>
      <w:tblStyleColBandSize w:val="1"/>
      <w:tblCellMar>
        <w:top w:w="55" w:type="dxa"/>
        <w:left w:w="55" w:type="dxa"/>
        <w:bottom w:w="55" w:type="dxa"/>
        <w:right w:w="55" w:type="dxa"/>
      </w:tblCellMar>
    </w:tblPr>
  </w:style>
  <w:style w:type="table">
    <w:name w:val=""/>
    <w:basedOn w:val="TableNormal"/>
    <w:tblPr>
      <w:tblStyleRowBandSize w:val="1"/>
      <w:tblStyleColBandSize w:val="1"/>
      <w:tblCellMar>
        <w:left w:w="115" w:type="dxa"/>
        <w:right w:w="115" w:type="dxa"/>
      </w:tblCellMar>
    </w:tblPr>
  </w:style>
  <w:style w:type="table">
    <w:name w:val=""/>
    <w:basedOn w:val="TableNormal"/>
    <w:tblPr>
      <w:tblStyleRowBandSize w:val="1"/>
      <w:tblStyleColBandSize w:val="1"/>
      <w:tblCellMar>
        <w:top w:w="55" w:type="dxa"/>
        <w:left w:w="55" w:type="dxa"/>
        <w:bottom w:w="55" w:type="dxa"/>
        <w:right w:w="5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Liberation Serif" w:hAnsi="Liberation Serif" w:eastAsia="Liberation Serif" w:cs="Liberation Serif"/>
        <w:sz w:val="24"/>
        <w:szCs w:val="24"/>
        <w:lang w:val="en-id" w:eastAsia="en-id"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80" w:after="120"/>
      <w:keepNext/>
      <w:outlineLvl w:val="0"/>
      <w:keepLines/>
    </w:pPr>
    <w:rPr>
      <w:b/>
      <w:sz w:val="48"/>
      <w:szCs w:val="48"/>
    </w:rPr>
  </w:style>
  <w:style w:type="paragraph" w:styleId="para2">
    <w:name w:val="heading 2"/>
    <w:qFormat/>
    <w:basedOn w:val="para0"/>
    <w:next w:val="para0"/>
    <w:pPr>
      <w:spacing w:before="360" w:after="80"/>
      <w:keepNext/>
      <w:outlineLvl w:val="1"/>
      <w:keepLines/>
    </w:pPr>
    <w:rPr>
      <w:b/>
      <w:sz w:val="36"/>
      <w:szCs w:val="36"/>
    </w:rPr>
  </w:style>
  <w:style w:type="paragraph" w:styleId="para3">
    <w:name w:val="heading 3"/>
    <w:qFormat/>
    <w:basedOn w:val="para0"/>
    <w:next w:val="para0"/>
    <w:pPr>
      <w:spacing w:before="280" w:after="80"/>
      <w:keepNext/>
      <w:outlineLvl w:val="2"/>
      <w:keepLines/>
    </w:pPr>
    <w:rPr>
      <w:b/>
      <w:sz w:val="28"/>
      <w:szCs w:val="28"/>
    </w:rPr>
  </w:style>
  <w:style w:type="paragraph" w:styleId="para4">
    <w:name w:val="heading 4"/>
    <w:qFormat/>
    <w:basedOn w:val="para0"/>
    <w:next w:val="para0"/>
    <w:pPr>
      <w:spacing w:before="240" w:after="40"/>
      <w:keepNext/>
      <w:outlineLvl w:val="3"/>
      <w:keepLines/>
    </w:pPr>
    <w:rPr>
      <w:b/>
    </w:rPr>
  </w:style>
  <w:style w:type="paragraph" w:styleId="para5">
    <w:name w:val="heading 5"/>
    <w:qFormat/>
    <w:basedOn w:val="para0"/>
    <w:next w:val="para0"/>
    <w:pPr>
      <w:spacing w:before="220" w:after="40"/>
      <w:keepNext/>
      <w:outlineLvl w:val="4"/>
      <w:keepLines/>
    </w:pPr>
    <w:rPr>
      <w:b/>
      <w:sz w:val="22"/>
      <w:szCs w:val="22"/>
    </w:rPr>
  </w:style>
  <w:style w:type="paragraph" w:styleId="para6">
    <w:name w:val="heading 6"/>
    <w:qFormat/>
    <w:basedOn w:val="para0"/>
    <w:next w:val="para0"/>
    <w:pPr>
      <w:spacing w:before="200" w:after="40"/>
      <w:keepNext/>
      <w:outlineLvl w:val="5"/>
      <w:keepLines/>
    </w:pPr>
    <w:rPr>
      <w:b/>
      <w:sz w:val="20"/>
      <w:szCs w:val="20"/>
    </w:rPr>
  </w:style>
  <w:style w:type="paragraph" w:styleId="para7">
    <w:name w:val="Title"/>
    <w:qFormat/>
    <w:basedOn w:val="para0"/>
    <w:next w:val="para0"/>
    <w:pPr>
      <w:spacing/>
      <w:jc w:val="center"/>
    </w:pPr>
    <w:rPr>
      <w:sz w:val="40"/>
      <w:szCs w:val="40"/>
    </w:rPr>
  </w:style>
  <w:style w:type="paragraph" w:styleId="para8">
    <w:name w:val="Subtitle"/>
    <w:qFormat/>
    <w:basedOn w:val="para0"/>
    <w:next w:val="para0"/>
    <w:pPr>
      <w:spacing w:before="360" w:after="80"/>
      <w:keepNext/>
      <w:keepLines/>
    </w:pPr>
    <w:rPr>
      <w:rFonts w:ascii="Georgia" w:hAnsi="Georgia" w:eastAsia="Georgia" w:cs="Georgia"/>
      <w:i/>
      <w:iCs/>
      <w:color w:val="666666"/>
      <w:sz w:val="48"/>
      <w:szCs w:val="48"/>
    </w:rPr>
  </w:style>
  <w:style w:type="paragraph" w:styleId="para9">
    <w:name w:val="Header"/>
    <w:qFormat/>
    <w:basedOn w:val="para0"/>
    <w:pPr>
      <w:tabs defTabSz="720">
        <w:tab w:val="center" w:pos="4513" w:leader="none"/>
        <w:tab w:val="right" w:pos="9026" w:leader="none"/>
      </w:tabs>
    </w:pPr>
  </w:style>
  <w:style w:type="paragraph" w:styleId="para10">
    <w:name w:val="Footer"/>
    <w:qFormat/>
    <w:basedOn w:val="para0"/>
    <w:pPr>
      <w:tabs defTabSz="720">
        <w:tab w:val="center" w:pos="4513" w:leader="none"/>
        <w:tab w:val="right" w:pos="9026" w:leader="none"/>
      </w:tabs>
    </w:pPr>
  </w:style>
  <w:style w:type="character" w:styleId="char0" w:default="1">
    <w:name w:val="Default Paragraph Font"/>
  </w:style>
  <w:style w:type="character" w:styleId="char1" w:customStyle="1">
    <w:name w:val="Header Char"/>
    <w:basedOn w:val="char0"/>
  </w:style>
  <w:style w:type="character" w:styleId="char2" w:customStyle="1">
    <w:name w:val="Footer Char"/>
    <w:basedOn w:val="char0"/>
  </w:style>
  <w:style w:type="character" w:styleId="char3">
    <w:name w:val="Hyperlink"/>
    <w:basedOn w:val="char0"/>
    <w:rPr>
      <w:color w:val="0000ff"/>
      <w:u w:color="auto" w:val="single"/>
    </w:rPr>
  </w:style>
  <w:style w:type="character" w:styleId="char4" w:customStyle="1">
    <w:name w:val="Unresolved Mention"/>
    <w:basedOn w:val="char0"/>
    <w:rPr>
      <w:color w:val="605e5c"/>
      <w:shd w:val="clear" w:fill="e1dfdd"/>
    </w:rPr>
  </w:style>
  <w:style w:type="character" w:styleId="char5" w:customStyle="1">
    <w:name w:val="normaltextrun"/>
    <w:basedOn w:val="char0"/>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Normal">
    <w:name w:val="TableNormal"/>
    <w:tblPr>
      <w:tblCellMar>
        <w:top w:w="100" w:type="dxa"/>
        <w:left w:w="100" w:type="dxa"/>
        <w:bottom w:w="100" w:type="dxa"/>
        <w:right w:w="100" w:type="dxa"/>
      </w:tblCellMar>
    </w:tblPr>
  </w:style>
  <w:style w:type="table">
    <w:name w:val=""/>
    <w:basedOn w:val="TableNormal"/>
    <w:tblPr>
      <w:tblStyleRowBandSize w:val="1"/>
      <w:tblStyleColBandSize w:val="1"/>
      <w:tblCellMar>
        <w:left w:w="115" w:type="dxa"/>
        <w:right w:w="115" w:type="dxa"/>
      </w:tblCellMar>
    </w:tblPr>
  </w:style>
  <w:style w:type="table">
    <w:name w:val=""/>
    <w:basedOn w:val="TableNormal"/>
    <w:tblPr>
      <w:tblStyleRowBandSize w:val="1"/>
      <w:tblStyleColBandSize w:val="1"/>
      <w:tblCellMar>
        <w:top w:w="55" w:type="dxa"/>
        <w:left w:w="55" w:type="dxa"/>
        <w:bottom w:w="55" w:type="dxa"/>
        <w:right w:w="55" w:type="dxa"/>
      </w:tblCellMar>
    </w:tblPr>
  </w:style>
  <w:style w:type="table">
    <w:name w:val=""/>
    <w:basedOn w:val="TableNormal"/>
    <w:tblPr>
      <w:tblStyleRowBandSize w:val="1"/>
      <w:tblStyleColBandSize w:val="1"/>
      <w:tblCellMar>
        <w:left w:w="115" w:type="dxa"/>
        <w:right w:w="115" w:type="dxa"/>
      </w:tblCellMar>
    </w:tblPr>
  </w:style>
  <w:style w:type="table">
    <w:name w:val=""/>
    <w:basedOn w:val="TableNormal"/>
    <w:tblPr>
      <w:tblStyleRowBandSize w:val="1"/>
      <w:tblStyleColBandSize w:val="1"/>
      <w:tblCellMar>
        <w:top w:w="55" w:type="dxa"/>
        <w:left w:w="55" w:type="dxa"/>
        <w:bottom w:w="55" w:type="dxa"/>
        <w:right w:w="5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hyperlink" Target="mailto:dfebriani380@gmail.com" TargetMode="External"/><Relationship Id="rId8" Type="http://schemas.openxmlformats.org/officeDocument/2006/relationships/header" Target="header1.xml"/><Relationship Id="rId9" Type="http://schemas.openxmlformats.org/officeDocument/2006/relationships/footer" Target="footer1.xml"/></Relationships>
</file>

<file path=word/_rels/fontTable.xml.rels><?xml version="1.0" encoding="UTF-8" standalone="yes" ?>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s>
</file>

<file path=word/_rels/footer1.xml.rels><?xml version="1.0" encoding="UTF-8" standalone="yes" ?>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sa/4.0/" TargetMode="External"/></Relationships>
</file>

<file path=word/_rels/header1.xml.rels><?xml version="1.0" encoding="UTF-8" standalone="yes" ?>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jurnal.upnyk.ac.id/index.php/jiab/index" TargetMode="External"/><Relationship Id="rId3" Type="http://schemas.openxmlformats.org/officeDocument/2006/relationships/hyperlink" Target="https://doi.org/xx.xxxx.xxxx"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Liberation Serif"/>
        <a:ea typeface="Liberation Serif"/>
        <a:cs typeface="Liberation Serif"/>
      </a:majorFont>
      <a:minorFont>
        <a:latin typeface="Liberation Serif"/>
        <a:ea typeface="Liberation Serif"/>
        <a:cs typeface="Liberation Serif"/>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NX rev.1225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ZAKI</dc:creator>
  <cp:keywords/>
  <dc:description/>
  <cp:lastModifiedBy/>
  <cp:revision>35</cp:revision>
  <dcterms:created xsi:type="dcterms:W3CDTF">2024-05-31T05:48:00Z</dcterms:created>
  <dcterms:modified xsi:type="dcterms:W3CDTF">2026-08-03T04:34:54Z</dcterms:modified>
</cp:coreProperties>
</file>